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QUI</w:t>
      </w:r>
      <w:r>
        <w:t xml:space="preserve"> </w:t>
      </w:r>
      <w:r>
        <w:t xml:space="preserve">eG</w:t>
      </w:r>
      <w:r>
        <w:t xml:space="preserve"> </w:t>
      </w:r>
      <w:r>
        <w:t xml:space="preserve">–</w:t>
      </w:r>
      <w:r>
        <w:t xml:space="preserve"> </w:t>
      </w:r>
      <w:r>
        <w:t xml:space="preserve">Katalog</w:t>
      </w:r>
      <w:r>
        <w:t xml:space="preserve"> </w:t>
      </w:r>
      <w:r>
        <w:t xml:space="preserve">der</w:t>
      </w:r>
      <w:r>
        <w:t xml:space="preserve"> </w:t>
      </w:r>
      <w:r>
        <w:t xml:space="preserve">Quartiersaufgaben</w:t>
      </w:r>
    </w:p>
    <w:p>
      <w:pPr>
        <w:pStyle w:val="Subtitle"/>
      </w:pPr>
      <w:r>
        <w:t xml:space="preserve">Entwurf</w:t>
      </w:r>
      <w:r>
        <w:t xml:space="preserve"> </w:t>
      </w:r>
      <w:r>
        <w:t xml:space="preserve">–</w:t>
      </w:r>
      <w:r>
        <w:t xml:space="preserve"> </w:t>
      </w:r>
      <w:r>
        <w:t xml:space="preserve">Stand</w:t>
      </w:r>
      <w:r>
        <w:t xml:space="preserve"> </w:t>
      </w:r>
      <w:r>
        <w:t xml:space="preserve">30.10.2026</w:t>
      </w:r>
      <w:r>
        <w:t xml:space="preserve"> </w:t>
      </w:r>
      <w:r>
        <w:t xml:space="preserve">–</w:t>
      </w:r>
      <w:r>
        <w:t xml:space="preserve"> </w:t>
      </w:r>
      <w:r>
        <w:t xml:space="preserve">Anlage</w:t>
      </w:r>
      <w:r>
        <w:t xml:space="preserve"> </w:t>
      </w:r>
      <w:r>
        <w:t xml:space="preserve">1</w:t>
      </w:r>
      <w:r>
        <w:t xml:space="preserve"> </w:t>
      </w:r>
      <w:r>
        <w:t xml:space="preserve">zur</w:t>
      </w:r>
      <w:r>
        <w:t xml:space="preserve"> </w:t>
      </w:r>
      <w:r>
        <w:t xml:space="preserve">Satzung</w:t>
      </w:r>
    </w:p>
    <w:bookmarkStart w:id="20" w:name="zweck-und-lesehilfe"/>
    <w:p>
      <w:pPr>
        <w:pStyle w:val="Heading1"/>
      </w:pPr>
      <w:r>
        <w:t xml:space="preserve">Zweck und Lesehilfe</w:t>
      </w:r>
    </w:p>
    <w:p>
      <w:pPr>
        <w:pStyle w:val="FirstParagraph"/>
      </w:pPr>
      <w:r>
        <w:t xml:space="preserve">Die Quartiersgenossenschaft QUI eG (QG) hat einen kleinen verpflichtenden Teil und einen großen optionalen Teil, den die Mitglieder selbst bestimmen. Dieser Katalog sortiert die Ideen aus der Mailrunde vom 24. bis 30.10.2026 (Christian Schnibbe, Linda Neddermann, Elina Aksionava, Klaus Meier) und ist als Anlage zur Satzung gedacht.</w:t>
      </w:r>
    </w:p>
    <w:p>
      <w:pPr>
        <w:numPr>
          <w:ilvl w:val="0"/>
          <w:numId w:val="1001"/>
        </w:numPr>
        <w:pStyle w:val="Compact"/>
      </w:pPr>
      <w:r>
        <w:rPr>
          <w:bCs/>
          <w:b/>
        </w:rPr>
        <w:t xml:space="preserve">Teil A – Pflicht:</w:t>
      </w:r>
      <w:r>
        <w:t xml:space="preserve"> </w:t>
      </w:r>
      <w:r>
        <w:t xml:space="preserve">Aufgaben, die die QG übernehmen muss und die Bestandteil des QG-Vertrags werden.</w:t>
      </w:r>
    </w:p>
    <w:p>
      <w:pPr>
        <w:numPr>
          <w:ilvl w:val="0"/>
          <w:numId w:val="1001"/>
        </w:numPr>
        <w:pStyle w:val="Compact"/>
      </w:pPr>
      <w:r>
        <w:rPr>
          <w:bCs/>
          <w:b/>
        </w:rPr>
        <w:t xml:space="preserve">Teil B – Angelegt:</w:t>
      </w:r>
      <w:r>
        <w:t xml:space="preserve"> </w:t>
      </w:r>
      <w:r>
        <w:t xml:space="preserve">Leistungen, die das Projekt baulich oder vertraglich bereits umsetzt. Die QG muss sie nicht erfinden, aber nutzen, organisieren oder weiterentwickeln.</w:t>
      </w:r>
    </w:p>
    <w:p>
      <w:pPr>
        <w:numPr>
          <w:ilvl w:val="0"/>
          <w:numId w:val="1001"/>
        </w:numPr>
        <w:pStyle w:val="Compact"/>
      </w:pPr>
      <w:r>
        <w:rPr>
          <w:bCs/>
          <w:b/>
        </w:rPr>
        <w:t xml:space="preserve">Teil C – Optional:</w:t>
      </w:r>
      <w:r>
        <w:t xml:space="preserve"> </w:t>
      </w:r>
      <w:r>
        <w:t xml:space="preserve">Katalog möglicher Engagements. Die QG wählt aus, priorisiert und setzt schrittweise um.</w:t>
      </w:r>
    </w:p>
    <w:p>
      <w:pPr>
        <w:pStyle w:val="FirstParagraph"/>
      </w:pPr>
      <w:r>
        <w:t xml:space="preserve">Ziel: Grundlage für das Gespräch im Januar 2027. Pflichtteil und Gerüst sollen bis März 2027 umgesetzt sein.</w:t>
      </w:r>
    </w:p>
    <w:bookmarkEnd w:id="20"/>
    <w:bookmarkStart w:id="21" w:name="teil-a-pflichtaufgaben-der-qg"/>
    <w:p>
      <w:pPr>
        <w:pStyle w:val="Heading1"/>
      </w:pPr>
      <w:r>
        <w:t xml:space="preserve">Teil A – Pflichtaufgaben der QG</w:t>
      </w:r>
    </w:p>
    <w:p>
      <w:pPr>
        <w:pStyle w:val="FirstParagraph"/>
      </w:pPr>
      <w:r>
        <w:t xml:space="preserve">Diese Aufgaben sind verbindlich und werden Bestandteil von Satzung bzw. QG-Vertrag.</w:t>
      </w:r>
    </w:p>
    <w:tbl>
      <w:tblPr>
        <w:tblStyle w:val="Table"/>
        <w:tblW w:type="pct" w:w="5000"/>
        <w:tblLook w:firstRow="1" w:lastRow="0" w:firstColumn="0" w:lastColumn="0" w:noHBand="0" w:noVBand="0" w:val="0020"/>
        <w:jc w:val="start"/>
        <w:tblBorders>
          <w:top w:val="single" w:sz="4" w:color="A0A7B4"/>
          <w:left w:val="single" w:sz="4" w:color="A0A7B4"/>
          <w:bottom w:val="single" w:sz="4" w:color="A0A7B4"/>
          <w:right w:val="single" w:sz="4" w:color="A0A7B4"/>
          <w:insideH w:val="single" w:sz="4" w:color="A0A7B4"/>
          <w:insideV w:val="single" w:sz="4" w:color="A0A7B4"/>
        </w:tblBorders>
      </w:tblPr>
      <w:tblGrid>
        <w:gridCol w:w="440"/>
        <w:gridCol w:w="1540"/>
        <w:gridCol w:w="4400"/>
        <w:gridCol w:w="1540"/>
      </w:tblGrid>
      <w:tr>
        <w:trPr>
          <w:tblHeader w:val="true"/>
        </w:trPr>
        <w:tc>
          <w:tcPr>
            <w:shd w:val="clear" w:fill="E6EAF0"/>
          </w:tcPr>
          <w:p>
            <w:pPr>
              <w:pStyle w:val="Compact"/>
              <w:jc w:val="left"/>
            </w:pPr>
            <w:r>
              <w:rPr>
                <w:b/>
                <w:sz w:val="19"/>
              </w:rPr>
              <w:t xml:space="preserve">Nr.</w:t>
            </w:r>
          </w:p>
        </w:tc>
        <w:tc>
          <w:tcPr>
            <w:shd w:val="clear" w:fill="E6EAF0"/>
          </w:tcPr>
          <w:p>
            <w:pPr>
              <w:pStyle w:val="Compact"/>
              <w:jc w:val="left"/>
            </w:pPr>
            <w:r>
              <w:rPr>
                <w:b/>
                <w:sz w:val="19"/>
              </w:rPr>
              <w:t xml:space="preserve">Aufgabe</w:t>
            </w:r>
          </w:p>
        </w:tc>
        <w:tc>
          <w:tcPr>
            <w:shd w:val="clear" w:fill="E6EAF0"/>
          </w:tcPr>
          <w:p>
            <w:pPr>
              <w:pStyle w:val="Compact"/>
              <w:jc w:val="left"/>
            </w:pPr>
            <w:r>
              <w:rPr>
                <w:b/>
                <w:sz w:val="19"/>
              </w:rPr>
              <w:t xml:space="preserve">Inhalt</w:t>
            </w:r>
          </w:p>
        </w:tc>
        <w:tc>
          <w:tcPr>
            <w:shd w:val="clear" w:fill="E6EAF0"/>
          </w:tcPr>
          <w:p>
            <w:pPr>
              <w:pStyle w:val="Compact"/>
              <w:jc w:val="left"/>
            </w:pPr>
            <w:r>
              <w:rPr>
                <w:b/>
                <w:sz w:val="19"/>
              </w:rPr>
              <w:t xml:space="preserve">Grundlage</w:t>
            </w:r>
          </w:p>
        </w:tc>
      </w:tr>
      <w:tr>
        <w:tc>
          <w:tcPr/>
          <w:p>
            <w:pPr>
              <w:pStyle w:val="Compact"/>
              <w:jc w:val="left"/>
            </w:pPr>
            <w:r>
              <w:rPr>
                <w:sz w:val="19"/>
              </w:rPr>
              <w:t xml:space="preserve">A1</w:t>
            </w:r>
          </w:p>
        </w:tc>
        <w:tc>
          <w:tcPr/>
          <w:p>
            <w:pPr>
              <w:pStyle w:val="Compact"/>
              <w:jc w:val="left"/>
            </w:pPr>
            <w:r>
              <w:rPr>
                <w:sz w:val="19"/>
              </w:rPr>
              <w:t xml:space="preserve">Genossenschaftscafé</w:t>
            </w:r>
          </w:p>
        </w:tc>
        <w:tc>
          <w:tcPr/>
          <w:p>
            <w:pPr>
              <w:pStyle w:val="Compact"/>
              <w:jc w:val="left"/>
            </w:pPr>
            <w:r>
              <w:rPr>
                <w:sz w:val="19"/>
              </w:rPr>
              <w:t xml:space="preserve">Betrieb des Quartierscafés als zentraler Treffpunkt, einschließlich Paket- und Poststation; Ziel: Integration einer Postfiliale (Partnerfiliale)</w:t>
            </w:r>
          </w:p>
        </w:tc>
        <w:tc>
          <w:tcPr/>
          <w:p>
            <w:pPr>
              <w:pStyle w:val="Compact"/>
              <w:jc w:val="left"/>
            </w:pPr>
            <w:r>
              <w:rPr>
                <w:sz w:val="19"/>
              </w:rPr>
              <w:t xml:space="preserve">Satzung (Pflicht), Vorgabe Klaus</w:t>
            </w:r>
          </w:p>
        </w:tc>
      </w:tr>
      <w:tr>
        <w:tc>
          <w:tcPr/>
          <w:p>
            <w:pPr>
              <w:pStyle w:val="Compact"/>
              <w:jc w:val="left"/>
            </w:pPr>
            <w:r>
              <w:rPr>
                <w:sz w:val="19"/>
              </w:rPr>
              <w:t xml:space="preserve">A2</w:t>
            </w:r>
          </w:p>
        </w:tc>
        <w:tc>
          <w:tcPr/>
          <w:p>
            <w:pPr>
              <w:pStyle w:val="Compact"/>
              <w:jc w:val="left"/>
            </w:pPr>
            <w:r>
              <w:rPr>
                <w:sz w:val="19"/>
              </w:rPr>
              <w:t xml:space="preserve">Quartiersrat</w:t>
            </w:r>
          </w:p>
        </w:tc>
        <w:tc>
          <w:tcPr/>
          <w:p>
            <w:pPr>
              <w:pStyle w:val="Compact"/>
              <w:jc w:val="left"/>
            </w:pPr>
            <w:r>
              <w:rPr>
                <w:sz w:val="19"/>
              </w:rPr>
              <w:t xml:space="preserve">Regelmäßige Treffen: laufende Themen, Ideensammlung, gemeinsame Entscheidungen, Umsetzungskontrolle</w:t>
            </w:r>
          </w:p>
        </w:tc>
        <w:tc>
          <w:tcPr/>
          <w:p>
            <w:pPr>
              <w:pStyle w:val="Compact"/>
              <w:jc w:val="left"/>
            </w:pPr>
            <w:r>
              <w:rPr>
                <w:sz w:val="19"/>
              </w:rPr>
              <w:t xml:space="preserve">QG-Vertrag</w:t>
            </w:r>
          </w:p>
        </w:tc>
      </w:tr>
      <w:tr>
        <w:tc>
          <w:tcPr/>
          <w:p>
            <w:pPr>
              <w:pStyle w:val="Compact"/>
              <w:jc w:val="left"/>
            </w:pPr>
            <w:r>
              <w:rPr>
                <w:sz w:val="19"/>
              </w:rPr>
              <w:t xml:space="preserve">A3</w:t>
            </w:r>
          </w:p>
        </w:tc>
        <w:tc>
          <w:tcPr/>
          <w:p>
            <w:pPr>
              <w:pStyle w:val="Compact"/>
              <w:jc w:val="left"/>
            </w:pPr>
            <w:r>
              <w:rPr>
                <w:sz w:val="19"/>
              </w:rPr>
              <w:t xml:space="preserve">Verwaltung der Gemeinschaftsräume</w:t>
            </w:r>
          </w:p>
        </w:tc>
        <w:tc>
          <w:tcPr/>
          <w:p>
            <w:pPr>
              <w:pStyle w:val="Compact"/>
              <w:jc w:val="left"/>
            </w:pPr>
            <w:r>
              <w:rPr>
                <w:sz w:val="19"/>
              </w:rPr>
              <w:t xml:space="preserve">Nutzung, Vergabe und Pflege der der QG kostenfrei überlassenen Räume; buchbare, gut schallisolierte Räume auch für die Abendnutzung</w:t>
            </w:r>
          </w:p>
        </w:tc>
        <w:tc>
          <w:tcPr/>
          <w:p>
            <w:pPr>
              <w:pStyle w:val="Compact"/>
              <w:jc w:val="left"/>
            </w:pPr>
            <w:r>
              <w:rPr>
                <w:sz w:val="19"/>
              </w:rPr>
              <w:t xml:space="preserve">QG-Vertrag</w:t>
            </w:r>
          </w:p>
        </w:tc>
      </w:tr>
      <w:tr>
        <w:tc>
          <w:tcPr/>
          <w:p>
            <w:pPr>
              <w:pStyle w:val="Compact"/>
              <w:jc w:val="left"/>
            </w:pPr>
            <w:r>
              <w:rPr>
                <w:sz w:val="19"/>
              </w:rPr>
              <w:t xml:space="preserve">A4</w:t>
            </w:r>
          </w:p>
        </w:tc>
        <w:tc>
          <w:tcPr/>
          <w:p>
            <w:pPr>
              <w:pStyle w:val="Compact"/>
              <w:jc w:val="left"/>
            </w:pPr>
            <w:r>
              <w:rPr>
                <w:sz w:val="19"/>
              </w:rPr>
              <w:t xml:space="preserve">Spielregeln für das Miteinander</w:t>
            </w:r>
          </w:p>
        </w:tc>
        <w:tc>
          <w:tcPr/>
          <w:p>
            <w:pPr>
              <w:pStyle w:val="Compact"/>
              <w:jc w:val="left"/>
            </w:pPr>
            <w:r>
              <w:rPr>
                <w:sz w:val="19"/>
              </w:rPr>
              <w:t xml:space="preserve">Nutzungs- und Leihregeln (Räume, Fahrzeuge, Werkzeug), Aufräumregeln, Umgang mit Schäden und Konflikten</w:t>
            </w:r>
          </w:p>
        </w:tc>
        <w:tc>
          <w:tcPr/>
          <w:p>
            <w:pPr>
              <w:pStyle w:val="Compact"/>
              <w:jc w:val="left"/>
            </w:pPr>
            <w:r>
              <w:rPr>
                <w:sz w:val="19"/>
              </w:rPr>
              <w:t xml:space="preserve">Bestimmt die QG</w:t>
            </w:r>
          </w:p>
        </w:tc>
      </w:tr>
      <w:tr>
        <w:tc>
          <w:tcPr/>
          <w:p>
            <w:pPr>
              <w:pStyle w:val="Compact"/>
              <w:jc w:val="left"/>
            </w:pPr>
            <w:r>
              <w:rPr>
                <w:sz w:val="19"/>
              </w:rPr>
              <w:t xml:space="preserve">A5</w:t>
            </w:r>
          </w:p>
        </w:tc>
        <w:tc>
          <w:tcPr/>
          <w:p>
            <w:pPr>
              <w:pStyle w:val="Compact"/>
              <w:jc w:val="left"/>
            </w:pPr>
            <w:r>
              <w:rPr>
                <w:sz w:val="19"/>
              </w:rPr>
              <w:t xml:space="preserve">Regeln für Lieferungen, Umzüge und Besucher</w:t>
            </w:r>
          </w:p>
        </w:tc>
        <w:tc>
          <w:tcPr/>
          <w:p>
            <w:pPr>
              <w:pStyle w:val="Compact"/>
              <w:jc w:val="left"/>
            </w:pPr>
            <w:r>
              <w:rPr>
                <w:sz w:val="19"/>
              </w:rPr>
              <w:t xml:space="preserve">Klare Absprachen, damit Verkehr möglich bleibt und die Beeinträchtigung gering ist</w:t>
            </w:r>
          </w:p>
        </w:tc>
        <w:tc>
          <w:tcPr/>
          <w:p>
            <w:pPr>
              <w:pStyle w:val="Compact"/>
              <w:jc w:val="left"/>
            </w:pPr>
            <w:r>
              <w:rPr>
                <w:sz w:val="19"/>
              </w:rPr>
              <w:t xml:space="preserve">Bestimmt die QG</w:t>
            </w:r>
          </w:p>
        </w:tc>
      </w:tr>
      <w:tr>
        <w:tc>
          <w:tcPr/>
          <w:p>
            <w:pPr>
              <w:pStyle w:val="Compact"/>
              <w:jc w:val="left"/>
            </w:pPr>
            <w:r>
              <w:rPr>
                <w:sz w:val="19"/>
              </w:rPr>
              <w:t xml:space="preserve">A6</w:t>
            </w:r>
          </w:p>
        </w:tc>
        <w:tc>
          <w:tcPr/>
          <w:p>
            <w:pPr>
              <w:pStyle w:val="Compact"/>
              <w:jc w:val="left"/>
            </w:pPr>
            <w:r>
              <w:rPr>
                <w:sz w:val="19"/>
              </w:rPr>
              <w:t xml:space="preserve">Transparente Kosten und Rechnungslegung</w:t>
            </w:r>
          </w:p>
        </w:tc>
        <w:tc>
          <w:tcPr/>
          <w:p>
            <w:pPr>
              <w:pStyle w:val="Compact"/>
              <w:jc w:val="left"/>
            </w:pPr>
            <w:r>
              <w:rPr>
                <w:sz w:val="19"/>
              </w:rPr>
              <w:t xml:space="preserve">Nachvollziehbar, wofür Geld ausgegeben wird und wer welchen Anteil trägt</w:t>
            </w:r>
          </w:p>
        </w:tc>
        <w:tc>
          <w:tcPr/>
          <w:p>
            <w:pPr>
              <w:pStyle w:val="Compact"/>
              <w:jc w:val="left"/>
            </w:pPr>
            <w:r>
              <w:rPr>
                <w:sz w:val="19"/>
              </w:rPr>
              <w:t xml:space="preserve">Rechnungslegung im Quartier</w:t>
            </w:r>
          </w:p>
        </w:tc>
      </w:tr>
      <w:tr>
        <w:tc>
          <w:tcPr/>
          <w:p>
            <w:pPr>
              <w:pStyle w:val="Compact"/>
              <w:jc w:val="left"/>
            </w:pPr>
            <w:r>
              <w:rPr>
                <w:sz w:val="19"/>
              </w:rPr>
              <w:t xml:space="preserve">A7</w:t>
            </w:r>
          </w:p>
        </w:tc>
        <w:tc>
          <w:tcPr/>
          <w:p>
            <w:pPr>
              <w:pStyle w:val="Compact"/>
              <w:jc w:val="left"/>
            </w:pPr>
            <w:r>
              <w:rPr>
                <w:sz w:val="19"/>
              </w:rPr>
              <w:t xml:space="preserve">Finanzierungsplan</w:t>
            </w:r>
          </w:p>
        </w:tc>
        <w:tc>
          <w:tcPr/>
          <w:p>
            <w:pPr>
              <w:pStyle w:val="Compact"/>
              <w:jc w:val="left"/>
            </w:pPr>
            <w:r>
              <w:rPr>
                <w:sz w:val="19"/>
              </w:rPr>
              <w:t xml:space="preserve">Dauerhafte Finanzierung von Räumen, Angeboten und Einrichtungen; Prüfung, was genutzt wird und was zu teuer ist</w:t>
            </w:r>
          </w:p>
        </w:tc>
        <w:tc>
          <w:tcPr/>
          <w:p>
            <w:pPr>
              <w:pStyle w:val="Compact"/>
              <w:jc w:val="left"/>
            </w:pPr>
            <w:r>
              <w:rPr>
                <w:sz w:val="19"/>
              </w:rPr>
              <w:t xml:space="preserve">Mitgliederversammlung</w:t>
            </w:r>
          </w:p>
        </w:tc>
      </w:tr>
      <w:tr>
        <w:tc>
          <w:tcPr/>
          <w:p>
            <w:pPr>
              <w:pStyle w:val="Compact"/>
              <w:jc w:val="left"/>
            </w:pPr>
            <w:r>
              <w:rPr>
                <w:sz w:val="19"/>
              </w:rPr>
              <w:t xml:space="preserve">A8</w:t>
            </w:r>
          </w:p>
        </w:tc>
        <w:tc>
          <w:tcPr/>
          <w:p>
            <w:pPr>
              <w:pStyle w:val="Compact"/>
              <w:jc w:val="left"/>
            </w:pPr>
            <w:r>
              <w:rPr>
                <w:sz w:val="19"/>
              </w:rPr>
              <w:t xml:space="preserve">Mitsprache bei Gewerbevermietung</w:t>
            </w:r>
          </w:p>
        </w:tc>
        <w:tc>
          <w:tcPr/>
          <w:p>
            <w:pPr>
              <w:pStyle w:val="Compact"/>
              <w:jc w:val="left"/>
            </w:pPr>
            <w:r>
              <w:rPr>
                <w:sz w:val="19"/>
              </w:rPr>
              <w:t xml:space="preserve">Beteiligung bei der Auswahl von Gastronomie und Einzelhandel in den Erdgeschossen (u. a. bis zu 46 Flächen in den Stephanitorhöfen)</w:t>
            </w:r>
          </w:p>
        </w:tc>
        <w:tc>
          <w:tcPr/>
          <w:p>
            <w:pPr>
              <w:pStyle w:val="Compact"/>
              <w:jc w:val="left"/>
            </w:pPr>
            <w:r>
              <w:rPr>
                <w:sz w:val="19"/>
              </w:rPr>
              <w:t xml:space="preserve">Zusage Klaus, Ausgestaltung offen</w:t>
            </w:r>
          </w:p>
        </w:tc>
      </w:tr>
    </w:tbl>
    <w:bookmarkEnd w:id="21"/>
    <w:bookmarkStart w:id="22" w:name="teil-b-bereits-angelegt"/>
    <w:p>
      <w:pPr>
        <w:pStyle w:val="Heading1"/>
      </w:pPr>
      <w:r>
        <w:t xml:space="preserve">Teil B – Bereits angelegt</w:t>
      </w:r>
    </w:p>
    <w:p>
      <w:pPr>
        <w:pStyle w:val="FirstParagraph"/>
      </w:pPr>
      <w:r>
        <w:t xml:space="preserve">Leitbild: Fahrradquartier, Spielquartier, Grünquartier, Kulturquartier. Folgende Punkte setzt das Projekt baulich oder vertraglich um.</w:t>
      </w:r>
    </w:p>
    <w:tbl>
      <w:tblPr>
        <w:tblStyle w:val="Table"/>
        <w:tblW w:type="pct" w:w="5000"/>
        <w:tblLook w:firstRow="1" w:lastRow="0" w:firstColumn="0" w:lastColumn="0" w:noHBand="0" w:noVBand="0" w:val="0020"/>
        <w:jc w:val="start"/>
        <w:tblBorders>
          <w:top w:val="single" w:sz="4" w:color="A0A7B4"/>
          <w:left w:val="single" w:sz="4" w:color="A0A7B4"/>
          <w:bottom w:val="single" w:sz="4" w:color="A0A7B4"/>
          <w:right w:val="single" w:sz="4" w:color="A0A7B4"/>
          <w:insideH w:val="single" w:sz="4" w:color="A0A7B4"/>
          <w:insideV w:val="single" w:sz="4" w:color="A0A7B4"/>
        </w:tblBorders>
      </w:tblPr>
      <w:tblGrid>
        <w:gridCol w:w="1732"/>
        <w:gridCol w:w="4950"/>
        <w:gridCol w:w="1237"/>
      </w:tblGrid>
      <w:tr>
        <w:trPr>
          <w:tblHeader w:val="true"/>
        </w:trPr>
        <w:tc>
          <w:tcPr>
            <w:shd w:val="clear" w:fill="E6EAF0"/>
          </w:tcPr>
          <w:p>
            <w:pPr>
              <w:pStyle w:val="Compact"/>
              <w:jc w:val="left"/>
            </w:pPr>
            <w:r>
              <w:rPr>
                <w:b/>
                <w:sz w:val="19"/>
              </w:rPr>
              <w:t xml:space="preserve">Bereich</w:t>
            </w:r>
          </w:p>
        </w:tc>
        <w:tc>
          <w:tcPr>
            <w:shd w:val="clear" w:fill="E6EAF0"/>
          </w:tcPr>
          <w:p>
            <w:pPr>
              <w:pStyle w:val="Compact"/>
              <w:jc w:val="left"/>
            </w:pPr>
            <w:r>
              <w:rPr>
                <w:b/>
                <w:sz w:val="19"/>
              </w:rPr>
              <w:t xml:space="preserve">Was kommt</w:t>
            </w:r>
          </w:p>
        </w:tc>
        <w:tc>
          <w:tcPr>
            <w:shd w:val="clear" w:fill="E6EAF0"/>
          </w:tcPr>
          <w:p>
            <w:pPr>
              <w:pStyle w:val="Compact"/>
              <w:jc w:val="left"/>
            </w:pPr>
            <w:r>
              <w:rPr>
                <w:b/>
                <w:sz w:val="19"/>
              </w:rPr>
              <w:t xml:space="preserve">Stand</w:t>
            </w:r>
          </w:p>
        </w:tc>
      </w:tr>
      <w:tr>
        <w:tc>
          <w:tcPr/>
          <w:p>
            <w:pPr>
              <w:pStyle w:val="Compact"/>
              <w:jc w:val="left"/>
            </w:pPr>
            <w:r>
              <w:rPr>
                <w:sz w:val="19"/>
              </w:rPr>
              <w:t xml:space="preserve">E-Carsharing</w:t>
            </w:r>
          </w:p>
        </w:tc>
        <w:tc>
          <w:tcPr/>
          <w:p>
            <w:pPr>
              <w:pStyle w:val="Compact"/>
              <w:jc w:val="left"/>
            </w:pPr>
            <w:r>
              <w:rPr>
                <w:sz w:val="19"/>
              </w:rPr>
              <w:t xml:space="preserve">DAVE</w:t>
            </w:r>
          </w:p>
        </w:tc>
        <w:tc>
          <w:tcPr/>
          <w:p>
            <w:pPr>
              <w:pStyle w:val="Compact"/>
              <w:jc w:val="left"/>
            </w:pPr>
            <w:r>
              <w:rPr>
                <w:sz w:val="19"/>
              </w:rPr>
              <w:t xml:space="preserve">ab Q2/2027</w:t>
            </w:r>
          </w:p>
        </w:tc>
      </w:tr>
      <w:tr>
        <w:tc>
          <w:tcPr/>
          <w:p>
            <w:pPr>
              <w:pStyle w:val="Compact"/>
              <w:jc w:val="left"/>
            </w:pPr>
            <w:r>
              <w:rPr>
                <w:sz w:val="19"/>
              </w:rPr>
              <w:t xml:space="preserve">Lastenräder</w:t>
            </w:r>
          </w:p>
        </w:tc>
        <w:tc>
          <w:tcPr/>
          <w:p>
            <w:pPr>
              <w:pStyle w:val="Compact"/>
              <w:jc w:val="left"/>
            </w:pPr>
            <w:r>
              <w:rPr>
                <w:sz w:val="19"/>
              </w:rPr>
              <w:t xml:space="preserve">Sharing (nur Lastenräder, keine normalen Fahrräder)</w:t>
            </w:r>
          </w:p>
        </w:tc>
        <w:tc>
          <w:tcPr/>
          <w:p>
            <w:pPr>
              <w:pStyle w:val="Compact"/>
              <w:jc w:val="left"/>
            </w:pPr>
            <w:r>
              <w:rPr>
                <w:sz w:val="19"/>
              </w:rPr>
              <w:t xml:space="preserve">geplant</w:t>
            </w:r>
          </w:p>
        </w:tc>
      </w:tr>
      <w:tr>
        <w:tc>
          <w:tcPr/>
          <w:p>
            <w:pPr>
              <w:pStyle w:val="Compact"/>
              <w:jc w:val="left"/>
            </w:pPr>
            <w:r>
              <w:rPr>
                <w:sz w:val="19"/>
              </w:rPr>
              <w:t xml:space="preserve">Fahrrad-Infrastruktur</w:t>
            </w:r>
          </w:p>
        </w:tc>
        <w:tc>
          <w:tcPr/>
          <w:p>
            <w:pPr>
              <w:pStyle w:val="Compact"/>
              <w:jc w:val="left"/>
            </w:pPr>
            <w:r>
              <w:rPr>
                <w:sz w:val="19"/>
              </w:rPr>
              <w:t xml:space="preserve">Reparaturstation, Fahrradwerkstatt, Fahrradcafé</w:t>
            </w:r>
          </w:p>
        </w:tc>
        <w:tc>
          <w:tcPr/>
          <w:p>
            <w:pPr>
              <w:pStyle w:val="Compact"/>
              <w:jc w:val="left"/>
            </w:pPr>
            <w:r>
              <w:rPr>
                <w:sz w:val="19"/>
              </w:rPr>
              <w:t xml:space="preserve">im Bau</w:t>
            </w:r>
          </w:p>
        </w:tc>
      </w:tr>
      <w:tr>
        <w:tc>
          <w:tcPr/>
          <w:p>
            <w:pPr>
              <w:pStyle w:val="Compact"/>
              <w:jc w:val="left"/>
            </w:pPr>
            <w:r>
              <w:rPr>
                <w:sz w:val="19"/>
              </w:rPr>
              <w:t xml:space="preserve">Räume</w:t>
            </w:r>
          </w:p>
        </w:tc>
        <w:tc>
          <w:tcPr/>
          <w:p>
            <w:pPr>
              <w:pStyle w:val="Compact"/>
              <w:jc w:val="left"/>
            </w:pPr>
            <w:r>
              <w:rPr>
                <w:sz w:val="19"/>
              </w:rPr>
              <w:t xml:space="preserve">Große und zahlreiche Räume, der QG kostenfrei zur Verfügung gestellt</w:t>
            </w:r>
          </w:p>
        </w:tc>
        <w:tc>
          <w:tcPr/>
          <w:p>
            <w:pPr>
              <w:pStyle w:val="Compact"/>
              <w:jc w:val="left"/>
            </w:pPr>
            <w:r>
              <w:rPr>
                <w:sz w:val="19"/>
              </w:rPr>
              <w:t xml:space="preserve">zugesagt</w:t>
            </w:r>
          </w:p>
        </w:tc>
      </w:tr>
      <w:tr>
        <w:tc>
          <w:tcPr/>
          <w:p>
            <w:pPr>
              <w:pStyle w:val="Compact"/>
              <w:jc w:val="left"/>
            </w:pPr>
            <w:r>
              <w:rPr>
                <w:sz w:val="19"/>
              </w:rPr>
              <w:t xml:space="preserve">Gewächshäuser</w:t>
            </w:r>
          </w:p>
        </w:tc>
        <w:tc>
          <w:tcPr/>
          <w:p>
            <w:pPr>
              <w:pStyle w:val="Compact"/>
              <w:jc w:val="left"/>
            </w:pPr>
            <w:r>
              <w:rPr>
                <w:sz w:val="19"/>
              </w:rPr>
              <w:t xml:space="preserve">Wohngewächshaus (optional) und vier kleinere Gewächshäuser auf den Flächen</w:t>
            </w:r>
          </w:p>
        </w:tc>
        <w:tc>
          <w:tcPr/>
          <w:p>
            <w:pPr>
              <w:pStyle w:val="Compact"/>
              <w:jc w:val="left"/>
            </w:pPr>
            <w:r>
              <w:rPr>
                <w:sz w:val="19"/>
              </w:rPr>
              <w:t xml:space="preserve">geplant</w:t>
            </w:r>
          </w:p>
        </w:tc>
      </w:tr>
      <w:tr>
        <w:tc>
          <w:tcPr/>
          <w:p>
            <w:pPr>
              <w:pStyle w:val="Compact"/>
              <w:jc w:val="left"/>
            </w:pPr>
            <w:r>
              <w:rPr>
                <w:sz w:val="19"/>
              </w:rPr>
              <w:t xml:space="preserve">Naturnahe Gestaltung</w:t>
            </w:r>
          </w:p>
        </w:tc>
        <w:tc>
          <w:tcPr/>
          <w:p>
            <w:pPr>
              <w:pStyle w:val="Compact"/>
              <w:jc w:val="left"/>
            </w:pPr>
            <w:r>
              <w:rPr>
                <w:sz w:val="19"/>
              </w:rPr>
              <w:t xml:space="preserve">Heimische Pflanzen, Blumenwiesen, Nistkästen, Lebensräume für Insekten und Vögel</w:t>
            </w:r>
          </w:p>
        </w:tc>
        <w:tc>
          <w:tcPr/>
          <w:p>
            <w:pPr>
              <w:pStyle w:val="Compact"/>
              <w:jc w:val="left"/>
            </w:pPr>
            <w:r>
              <w:rPr>
                <w:sz w:val="19"/>
              </w:rPr>
              <w:t xml:space="preserve">Bauprinzip</w:t>
            </w:r>
          </w:p>
        </w:tc>
      </w:tr>
      <w:tr>
        <w:tc>
          <w:tcPr/>
          <w:p>
            <w:pPr>
              <w:pStyle w:val="Compact"/>
              <w:jc w:val="left"/>
            </w:pPr>
            <w:r>
              <w:rPr>
                <w:sz w:val="19"/>
              </w:rPr>
              <w:t xml:space="preserve">Schwammstadt</w:t>
            </w:r>
          </w:p>
        </w:tc>
        <w:tc>
          <w:tcPr/>
          <w:p>
            <w:pPr>
              <w:pStyle w:val="Compact"/>
              <w:jc w:val="left"/>
            </w:pPr>
            <w:r>
              <w:rPr>
                <w:sz w:val="19"/>
              </w:rPr>
              <w:t xml:space="preserve">Regenbeete, Rückhaltung und Nutzung von Regenwasser</w:t>
            </w:r>
          </w:p>
        </w:tc>
        <w:tc>
          <w:tcPr/>
          <w:p>
            <w:pPr>
              <w:pStyle w:val="Compact"/>
              <w:jc w:val="left"/>
            </w:pPr>
            <w:r>
              <w:rPr>
                <w:sz w:val="19"/>
              </w:rPr>
              <w:t xml:space="preserve">Bauprinzip</w:t>
            </w:r>
          </w:p>
        </w:tc>
      </w:tr>
      <w:tr>
        <w:tc>
          <w:tcPr/>
          <w:p>
            <w:pPr>
              <w:pStyle w:val="Compact"/>
              <w:jc w:val="left"/>
            </w:pPr>
            <w:r>
              <w:rPr>
                <w:sz w:val="19"/>
              </w:rPr>
              <w:t xml:space="preserve">Hitzeresilienz</w:t>
            </w:r>
          </w:p>
        </w:tc>
        <w:tc>
          <w:tcPr/>
          <w:p>
            <w:pPr>
              <w:pStyle w:val="Compact"/>
              <w:jc w:val="left"/>
            </w:pPr>
            <w:r>
              <w:rPr>
                <w:sz w:val="19"/>
              </w:rPr>
              <w:t xml:space="preserve">Schatten, Grün, kühle Aufenthaltsorte</w:t>
            </w:r>
          </w:p>
        </w:tc>
        <w:tc>
          <w:tcPr/>
          <w:p>
            <w:pPr>
              <w:pStyle w:val="Compact"/>
              <w:jc w:val="left"/>
            </w:pPr>
            <w:r>
              <w:rPr>
                <w:sz w:val="19"/>
              </w:rPr>
              <w:t xml:space="preserve">Bauprinzip</w:t>
            </w:r>
          </w:p>
        </w:tc>
      </w:tr>
      <w:tr>
        <w:tc>
          <w:tcPr/>
          <w:p>
            <w:pPr>
              <w:pStyle w:val="Compact"/>
              <w:jc w:val="left"/>
            </w:pPr>
            <w:r>
              <w:rPr>
                <w:sz w:val="19"/>
              </w:rPr>
              <w:t xml:space="preserve">Wohnen und Arbeiten</w:t>
            </w:r>
          </w:p>
        </w:tc>
        <w:tc>
          <w:tcPr/>
          <w:p>
            <w:pPr>
              <w:pStyle w:val="Compact"/>
              <w:jc w:val="left"/>
            </w:pPr>
            <w:r>
              <w:rPr>
                <w:sz w:val="19"/>
              </w:rPr>
              <w:t xml:space="preserve">Rund 2.500 Beschäftigte im Quartier; Kombination Wohnen/Arbeiten als Alleinstellungsmerkmal</w:t>
            </w:r>
          </w:p>
        </w:tc>
        <w:tc>
          <w:tcPr/>
          <w:p>
            <w:pPr>
              <w:pStyle w:val="Compact"/>
              <w:jc w:val="left"/>
            </w:pPr>
            <w:r>
              <w:rPr>
                <w:sz w:val="19"/>
              </w:rPr>
              <w:t xml:space="preserve">wird betont</w:t>
            </w:r>
          </w:p>
        </w:tc>
      </w:tr>
    </w:tbl>
    <w:p>
      <w:pPr>
        <w:pStyle w:val="BodyText"/>
      </w:pPr>
      <w:r>
        <w:t xml:space="preserve">Aufgabe der QG ist hier vor allem: Nutzung organisieren, Pflege verabreden, Patenschaften vergeben.</w:t>
      </w:r>
    </w:p>
    <w:bookmarkEnd w:id="22"/>
    <w:bookmarkStart w:id="30" w:name="X38b6536b2894bdd8b16cd086ec118490af1c0d7"/>
    <w:p>
      <w:pPr>
        <w:pStyle w:val="Heading1"/>
      </w:pPr>
      <w:r>
        <w:t xml:space="preserve">Teil C – Optionaler Katalog möglicher Engagements</w:t>
      </w:r>
    </w:p>
    <w:p>
      <w:pPr>
        <w:pStyle w:val="FirstParagraph"/>
      </w:pPr>
      <w:r>
        <w:t xml:space="preserve">Die QG entscheidet selbst, was sie wann umsetzt. Die Spalte „Priorität“ füllt die QG bzw. die Runde im Januar.</w:t>
      </w:r>
    </w:p>
    <w:bookmarkStart w:id="23" w:name="c1-nachbarschaft-und-miteinander"/>
    <w:p>
      <w:pPr>
        <w:pStyle w:val="Heading2"/>
      </w:pPr>
      <w:r>
        <w:t xml:space="preserve">C1 Nachbarschaft und Miteinander</w:t>
      </w:r>
    </w:p>
    <w:tbl>
      <w:tblPr>
        <w:tblStyle w:val="Table"/>
        <w:tblW w:type="pct" w:w="5000"/>
        <w:tblLook w:firstRow="1" w:lastRow="0" w:firstColumn="0" w:lastColumn="0" w:noHBand="0" w:noVBand="0" w:val="0020"/>
        <w:jc w:val="start"/>
        <w:tblBorders>
          <w:top w:val="single" w:sz="4" w:color="A0A7B4"/>
          <w:left w:val="single" w:sz="4" w:color="A0A7B4"/>
          <w:bottom w:val="single" w:sz="4" w:color="A0A7B4"/>
          <w:right w:val="single" w:sz="4" w:color="A0A7B4"/>
          <w:insideH w:val="single" w:sz="4" w:color="A0A7B4"/>
          <w:insideV w:val="single" w:sz="4" w:color="A0A7B4"/>
        </w:tblBorders>
      </w:tblPr>
      <w:tblGrid>
        <w:gridCol w:w="720"/>
        <w:gridCol w:w="1680"/>
        <w:gridCol w:w="4800"/>
        <w:gridCol w:w="720"/>
      </w:tblGrid>
      <w:tr>
        <w:trPr>
          <w:tblHeader w:val="true"/>
        </w:trPr>
        <w:tc>
          <w:tcPr>
            <w:shd w:val="clear" w:fill="E6EAF0"/>
          </w:tcPr>
          <w:p>
            <w:pPr>
              <w:pStyle w:val="Compact"/>
              <w:jc w:val="left"/>
            </w:pPr>
            <w:r>
              <w:rPr>
                <w:b/>
                <w:sz w:val="19"/>
              </w:rPr>
              <w:t xml:space="preserve">Nr.</w:t>
            </w:r>
          </w:p>
        </w:tc>
        <w:tc>
          <w:tcPr>
            <w:shd w:val="clear" w:fill="E6EAF0"/>
          </w:tcPr>
          <w:p>
            <w:pPr>
              <w:pStyle w:val="Compact"/>
              <w:jc w:val="left"/>
            </w:pPr>
            <w:r>
              <w:rPr>
                <w:b/>
                <w:sz w:val="19"/>
              </w:rPr>
              <w:t xml:space="preserve">Engagement</w:t>
            </w:r>
          </w:p>
        </w:tc>
        <w:tc>
          <w:tcPr>
            <w:shd w:val="clear" w:fill="E6EAF0"/>
          </w:tcPr>
          <w:p>
            <w:pPr>
              <w:pStyle w:val="Compact"/>
              <w:jc w:val="left"/>
            </w:pPr>
            <w:r>
              <w:rPr>
                <w:b/>
                <w:sz w:val="19"/>
              </w:rPr>
              <w:t xml:space="preserve">Kurzbeschreibung</w:t>
            </w:r>
          </w:p>
        </w:tc>
        <w:tc>
          <w:tcPr>
            <w:shd w:val="clear" w:fill="E6EAF0"/>
          </w:tcPr>
          <w:p>
            <w:pPr>
              <w:pStyle w:val="Compact"/>
              <w:jc w:val="left"/>
            </w:pPr>
            <w:r>
              <w:rPr>
                <w:b/>
                <w:sz w:val="19"/>
              </w:rPr>
              <w:t xml:space="preserve">Priorität</w:t>
            </w:r>
          </w:p>
        </w:tc>
      </w:tr>
      <w:tr>
        <w:tc>
          <w:tcPr/>
          <w:p>
            <w:pPr>
              <w:pStyle w:val="Compact"/>
              <w:jc w:val="left"/>
            </w:pPr>
            <w:r>
              <w:rPr>
                <w:sz w:val="19"/>
              </w:rPr>
              <w:t xml:space="preserve">C1.1</w:t>
            </w:r>
          </w:p>
        </w:tc>
        <w:tc>
          <w:tcPr/>
          <w:p>
            <w:pPr>
              <w:pStyle w:val="Compact"/>
              <w:jc w:val="left"/>
            </w:pPr>
            <w:r>
              <w:rPr>
                <w:sz w:val="19"/>
              </w:rPr>
              <w:t xml:space="preserve">Nachbarschaftshilfe</w:t>
            </w:r>
          </w:p>
        </w:tc>
        <w:tc>
          <w:tcPr/>
          <w:p>
            <w:pPr>
              <w:pStyle w:val="Compact"/>
              <w:jc w:val="left"/>
            </w:pPr>
            <w:r>
              <w:rPr>
                <w:sz w:val="19"/>
              </w:rPr>
              <w:t xml:space="preserve">Einkaufen, Fahrt zum Arzt, kleine Reparaturen</w:t>
            </w:r>
          </w:p>
        </w:tc>
        <w:tc>
          <w:tcPr/>
          <w:p>
            <w:pPr>
              <w:pStyle w:val="Compact"/>
            </w:pPr>
          </w:p>
        </w:tc>
      </w:tr>
      <w:tr>
        <w:tc>
          <w:tcPr/>
          <w:p>
            <w:pPr>
              <w:pStyle w:val="Compact"/>
              <w:jc w:val="left"/>
            </w:pPr>
            <w:r>
              <w:rPr>
                <w:sz w:val="19"/>
              </w:rPr>
              <w:t xml:space="preserve">C1.2</w:t>
            </w:r>
          </w:p>
        </w:tc>
        <w:tc>
          <w:tcPr/>
          <w:p>
            <w:pPr>
              <w:pStyle w:val="Compact"/>
              <w:jc w:val="left"/>
            </w:pPr>
            <w:r>
              <w:rPr>
                <w:sz w:val="19"/>
              </w:rPr>
              <w:t xml:space="preserve">Jung und Alt</w:t>
            </w:r>
          </w:p>
        </w:tc>
        <w:tc>
          <w:tcPr/>
          <w:p>
            <w:pPr>
              <w:pStyle w:val="Compact"/>
              <w:jc w:val="left"/>
            </w:pPr>
            <w:r>
              <w:rPr>
                <w:sz w:val="19"/>
              </w:rPr>
              <w:t xml:space="preserve">Schülerhilfe durch Ältere, IT-Hilfe durch Jüngere</w:t>
            </w:r>
          </w:p>
        </w:tc>
        <w:tc>
          <w:tcPr/>
          <w:p>
            <w:pPr>
              <w:pStyle w:val="Compact"/>
            </w:pPr>
          </w:p>
        </w:tc>
      </w:tr>
      <w:tr>
        <w:tc>
          <w:tcPr/>
          <w:p>
            <w:pPr>
              <w:pStyle w:val="Compact"/>
              <w:jc w:val="left"/>
            </w:pPr>
            <w:r>
              <w:rPr>
                <w:sz w:val="19"/>
              </w:rPr>
              <w:t xml:space="preserve">C1.3</w:t>
            </w:r>
          </w:p>
        </w:tc>
        <w:tc>
          <w:tcPr/>
          <w:p>
            <w:pPr>
              <w:pStyle w:val="Compact"/>
              <w:jc w:val="left"/>
            </w:pPr>
            <w:r>
              <w:rPr>
                <w:sz w:val="19"/>
              </w:rPr>
              <w:t xml:space="preserve">Quartiersmediation</w:t>
            </w:r>
          </w:p>
        </w:tc>
        <w:tc>
          <w:tcPr/>
          <w:p>
            <w:pPr>
              <w:pStyle w:val="Compact"/>
              <w:jc w:val="left"/>
            </w:pPr>
            <w:r>
              <w:rPr>
                <w:sz w:val="19"/>
              </w:rPr>
              <w:t xml:space="preserve">Neutrale Vermittlung bei Konflikten</w:t>
            </w:r>
          </w:p>
        </w:tc>
        <w:tc>
          <w:tcPr/>
          <w:p>
            <w:pPr>
              <w:pStyle w:val="Compact"/>
            </w:pPr>
          </w:p>
        </w:tc>
      </w:tr>
      <w:tr>
        <w:tc>
          <w:tcPr/>
          <w:p>
            <w:pPr>
              <w:pStyle w:val="Compact"/>
              <w:jc w:val="left"/>
            </w:pPr>
            <w:r>
              <w:rPr>
                <w:sz w:val="19"/>
              </w:rPr>
              <w:t xml:space="preserve">C1.4</w:t>
            </w:r>
          </w:p>
        </w:tc>
        <w:tc>
          <w:tcPr/>
          <w:p>
            <w:pPr>
              <w:pStyle w:val="Compact"/>
              <w:jc w:val="left"/>
            </w:pPr>
            <w:r>
              <w:rPr>
                <w:sz w:val="19"/>
              </w:rPr>
              <w:t xml:space="preserve">Willkommenspatenschaften</w:t>
            </w:r>
          </w:p>
        </w:tc>
        <w:tc>
          <w:tcPr/>
          <w:p>
            <w:pPr>
              <w:pStyle w:val="Compact"/>
              <w:jc w:val="left"/>
            </w:pPr>
            <w:r>
              <w:rPr>
                <w:sz w:val="19"/>
              </w:rPr>
              <w:t xml:space="preserve">Paten für neue Bewohner und Beschäftigte</w:t>
            </w:r>
          </w:p>
        </w:tc>
        <w:tc>
          <w:tcPr/>
          <w:p>
            <w:pPr>
              <w:pStyle w:val="Compact"/>
            </w:pPr>
          </w:p>
        </w:tc>
      </w:tr>
      <w:tr>
        <w:tc>
          <w:tcPr/>
          <w:p>
            <w:pPr>
              <w:pStyle w:val="Compact"/>
              <w:jc w:val="left"/>
            </w:pPr>
            <w:r>
              <w:rPr>
                <w:sz w:val="19"/>
              </w:rPr>
              <w:t xml:space="preserve">C1.5</w:t>
            </w:r>
          </w:p>
        </w:tc>
        <w:tc>
          <w:tcPr/>
          <w:p>
            <w:pPr>
              <w:pStyle w:val="Compact"/>
              <w:jc w:val="left"/>
            </w:pPr>
            <w:r>
              <w:rPr>
                <w:sz w:val="19"/>
              </w:rPr>
              <w:t xml:space="preserve">Kinderbetreuung unter Nachbarn</w:t>
            </w:r>
          </w:p>
        </w:tc>
        <w:tc>
          <w:tcPr/>
          <w:p>
            <w:pPr>
              <w:pStyle w:val="Compact"/>
              <w:jc w:val="left"/>
            </w:pPr>
            <w:r>
              <w:rPr>
                <w:sz w:val="19"/>
              </w:rPr>
              <w:t xml:space="preserve">Gegenseitige Aushilfe mit klaren Absprachen und unter Beachtung der Regeln</w:t>
            </w:r>
          </w:p>
        </w:tc>
        <w:tc>
          <w:tcPr/>
          <w:p>
            <w:pPr>
              <w:pStyle w:val="Compact"/>
            </w:pPr>
          </w:p>
        </w:tc>
      </w:tr>
      <w:tr>
        <w:tc>
          <w:tcPr/>
          <w:p>
            <w:pPr>
              <w:pStyle w:val="Compact"/>
              <w:jc w:val="left"/>
            </w:pPr>
            <w:r>
              <w:rPr>
                <w:sz w:val="19"/>
              </w:rPr>
              <w:t xml:space="preserve">C1.6</w:t>
            </w:r>
          </w:p>
        </w:tc>
        <w:tc>
          <w:tcPr/>
          <w:p>
            <w:pPr>
              <w:pStyle w:val="Compact"/>
              <w:jc w:val="left"/>
            </w:pPr>
            <w:r>
              <w:rPr>
                <w:sz w:val="19"/>
              </w:rPr>
              <w:t xml:space="preserve">Unterstützung Älterer</w:t>
            </w:r>
          </w:p>
        </w:tc>
        <w:tc>
          <w:tcPr/>
          <w:p>
            <w:pPr>
              <w:pStyle w:val="Compact"/>
              <w:jc w:val="left"/>
            </w:pPr>
            <w:r>
              <w:rPr>
                <w:sz w:val="19"/>
              </w:rPr>
              <w:t xml:space="preserve">Begleitung, Einkauf, Besuche</w:t>
            </w:r>
          </w:p>
        </w:tc>
        <w:tc>
          <w:tcPr/>
          <w:p>
            <w:pPr>
              <w:pStyle w:val="Compact"/>
            </w:pPr>
          </w:p>
        </w:tc>
      </w:tr>
      <w:tr>
        <w:tc>
          <w:tcPr/>
          <w:p>
            <w:pPr>
              <w:pStyle w:val="Compact"/>
              <w:jc w:val="left"/>
            </w:pPr>
            <w:r>
              <w:rPr>
                <w:sz w:val="19"/>
              </w:rPr>
              <w:t xml:space="preserve">C1.7</w:t>
            </w:r>
          </w:p>
        </w:tc>
        <w:tc>
          <w:tcPr/>
          <w:p>
            <w:pPr>
              <w:pStyle w:val="Compact"/>
              <w:jc w:val="left"/>
            </w:pPr>
            <w:r>
              <w:rPr>
                <w:sz w:val="19"/>
              </w:rPr>
              <w:t xml:space="preserve">Notfallnetz</w:t>
            </w:r>
          </w:p>
        </w:tc>
        <w:tc>
          <w:tcPr/>
          <w:p>
            <w:pPr>
              <w:pStyle w:val="Compact"/>
              <w:jc w:val="left"/>
            </w:pPr>
            <w:r>
              <w:rPr>
                <w:sz w:val="19"/>
              </w:rPr>
              <w:t xml:space="preserve">Kurzfristige Hilfe bei Krankheit oder Überlastung</w:t>
            </w:r>
          </w:p>
        </w:tc>
        <w:tc>
          <w:tcPr/>
          <w:p>
            <w:pPr>
              <w:pStyle w:val="Compact"/>
            </w:pPr>
          </w:p>
        </w:tc>
      </w:tr>
      <w:tr>
        <w:tc>
          <w:tcPr/>
          <w:p>
            <w:pPr>
              <w:pStyle w:val="Compact"/>
              <w:jc w:val="left"/>
            </w:pPr>
            <w:r>
              <w:rPr>
                <w:sz w:val="19"/>
              </w:rPr>
              <w:t xml:space="preserve">C1.8</w:t>
            </w:r>
          </w:p>
        </w:tc>
        <w:tc>
          <w:tcPr/>
          <w:p>
            <w:pPr>
              <w:pStyle w:val="Compact"/>
              <w:jc w:val="left"/>
            </w:pPr>
            <w:r>
              <w:rPr>
                <w:sz w:val="19"/>
              </w:rPr>
              <w:t xml:space="preserve">Quartiersführungen und Netzwerkabende</w:t>
            </w:r>
          </w:p>
        </w:tc>
        <w:tc>
          <w:tcPr/>
          <w:p>
            <w:pPr>
              <w:pStyle w:val="Compact"/>
              <w:jc w:val="left"/>
            </w:pPr>
            <w:r>
              <w:rPr>
                <w:sz w:val="19"/>
              </w:rPr>
              <w:t xml:space="preserve">Führungen für Neulinge und Gäste (u. a. Energiezentrale, Klimaturm), etwa einmal im Quartal; Begrüßungs- und Netzwerkabende</w:t>
            </w:r>
          </w:p>
        </w:tc>
        <w:tc>
          <w:tcPr/>
          <w:p>
            <w:pPr>
              <w:pStyle w:val="Compact"/>
            </w:pPr>
          </w:p>
        </w:tc>
      </w:tr>
      <w:tr>
        <w:tc>
          <w:tcPr/>
          <w:p>
            <w:pPr>
              <w:pStyle w:val="Compact"/>
              <w:jc w:val="left"/>
            </w:pPr>
            <w:r>
              <w:rPr>
                <w:sz w:val="19"/>
              </w:rPr>
              <w:t xml:space="preserve">C1.9</w:t>
            </w:r>
          </w:p>
        </w:tc>
        <w:tc>
          <w:tcPr/>
          <w:p>
            <w:pPr>
              <w:pStyle w:val="Compact"/>
              <w:jc w:val="left"/>
            </w:pPr>
            <w:r>
              <w:rPr>
                <w:sz w:val="19"/>
              </w:rPr>
              <w:t xml:space="preserve">Weihnachtszeit im Quartier</w:t>
            </w:r>
          </w:p>
        </w:tc>
        <w:tc>
          <w:tcPr/>
          <w:p>
            <w:pPr>
              <w:pStyle w:val="Compact"/>
              <w:jc w:val="left"/>
            </w:pPr>
            <w:r>
              <w:rPr>
                <w:sz w:val="19"/>
              </w:rPr>
              <w:t xml:space="preserve">Zentraler Weihnachtsbaum, von Bewohnern geschmückt; auf Wunsch Weihnachtsmann-Besuch für Familien, Wunschzettel vorher einsammeln</w:t>
            </w:r>
          </w:p>
        </w:tc>
        <w:tc>
          <w:tcPr/>
          <w:p>
            <w:pPr>
              <w:pStyle w:val="Compact"/>
            </w:pPr>
          </w:p>
        </w:tc>
      </w:tr>
    </w:tbl>
    <w:bookmarkEnd w:id="23"/>
    <w:bookmarkStart w:id="24" w:name="c2-teilen-tauschen-reparieren"/>
    <w:p>
      <w:pPr>
        <w:pStyle w:val="Heading2"/>
      </w:pPr>
      <w:r>
        <w:t xml:space="preserve">C2 Teilen, Tauschen, Reparieren</w:t>
      </w:r>
    </w:p>
    <w:tbl>
      <w:tblPr>
        <w:tblStyle w:val="Table"/>
        <w:tblW w:type="pct" w:w="5000"/>
        <w:tblLook w:firstRow="1" w:lastRow="0" w:firstColumn="0" w:lastColumn="0" w:noHBand="0" w:noVBand="0" w:val="0020"/>
        <w:jc w:val="start"/>
        <w:tblBorders>
          <w:top w:val="single" w:sz="4" w:color="A0A7B4"/>
          <w:left w:val="single" w:sz="4" w:color="A0A7B4"/>
          <w:bottom w:val="single" w:sz="4" w:color="A0A7B4"/>
          <w:right w:val="single" w:sz="4" w:color="A0A7B4"/>
          <w:insideH w:val="single" w:sz="4" w:color="A0A7B4"/>
          <w:insideV w:val="single" w:sz="4" w:color="A0A7B4"/>
        </w:tblBorders>
      </w:tblPr>
      <w:tblGrid>
        <w:gridCol w:w="720"/>
        <w:gridCol w:w="1680"/>
        <w:gridCol w:w="4800"/>
        <w:gridCol w:w="720"/>
      </w:tblGrid>
      <w:tr>
        <w:trPr>
          <w:tblHeader w:val="true"/>
        </w:trPr>
        <w:tc>
          <w:tcPr>
            <w:shd w:val="clear" w:fill="E6EAF0"/>
          </w:tcPr>
          <w:p>
            <w:pPr>
              <w:pStyle w:val="Compact"/>
              <w:jc w:val="left"/>
            </w:pPr>
            <w:r>
              <w:rPr>
                <w:b/>
                <w:sz w:val="19"/>
              </w:rPr>
              <w:t xml:space="preserve">Nr.</w:t>
            </w:r>
          </w:p>
        </w:tc>
        <w:tc>
          <w:tcPr>
            <w:shd w:val="clear" w:fill="E6EAF0"/>
          </w:tcPr>
          <w:p>
            <w:pPr>
              <w:pStyle w:val="Compact"/>
              <w:jc w:val="left"/>
            </w:pPr>
            <w:r>
              <w:rPr>
                <w:b/>
                <w:sz w:val="19"/>
              </w:rPr>
              <w:t xml:space="preserve">Engagement</w:t>
            </w:r>
          </w:p>
        </w:tc>
        <w:tc>
          <w:tcPr>
            <w:shd w:val="clear" w:fill="E6EAF0"/>
          </w:tcPr>
          <w:p>
            <w:pPr>
              <w:pStyle w:val="Compact"/>
              <w:jc w:val="left"/>
            </w:pPr>
            <w:r>
              <w:rPr>
                <w:b/>
                <w:sz w:val="19"/>
              </w:rPr>
              <w:t xml:space="preserve">Kurzbeschreibung</w:t>
            </w:r>
          </w:p>
        </w:tc>
        <w:tc>
          <w:tcPr>
            <w:shd w:val="clear" w:fill="E6EAF0"/>
          </w:tcPr>
          <w:p>
            <w:pPr>
              <w:pStyle w:val="Compact"/>
              <w:jc w:val="left"/>
            </w:pPr>
            <w:r>
              <w:rPr>
                <w:b/>
                <w:sz w:val="19"/>
              </w:rPr>
              <w:t xml:space="preserve">Priorität</w:t>
            </w:r>
          </w:p>
        </w:tc>
      </w:tr>
      <w:tr>
        <w:tc>
          <w:tcPr/>
          <w:p>
            <w:pPr>
              <w:pStyle w:val="Compact"/>
              <w:jc w:val="left"/>
            </w:pPr>
            <w:r>
              <w:rPr>
                <w:sz w:val="19"/>
              </w:rPr>
              <w:t xml:space="preserve">C2.1</w:t>
            </w:r>
          </w:p>
        </w:tc>
        <w:tc>
          <w:tcPr/>
          <w:p>
            <w:pPr>
              <w:pStyle w:val="Compact"/>
              <w:jc w:val="left"/>
            </w:pPr>
            <w:r>
              <w:rPr>
                <w:sz w:val="19"/>
              </w:rPr>
              <w:t xml:space="preserve">Leihkiste / Leihstation</w:t>
            </w:r>
          </w:p>
        </w:tc>
        <w:tc>
          <w:tcPr/>
          <w:p>
            <w:pPr>
              <w:pStyle w:val="Compact"/>
              <w:jc w:val="left"/>
            </w:pPr>
            <w:r>
              <w:rPr>
                <w:sz w:val="19"/>
              </w:rPr>
              <w:t xml:space="preserve">Werkzeug, Leiter, Bohrmaschine, Gartengeräte, Reinigungsgeräte</w:t>
            </w:r>
          </w:p>
        </w:tc>
        <w:tc>
          <w:tcPr/>
          <w:p>
            <w:pPr>
              <w:pStyle w:val="Compact"/>
            </w:pPr>
          </w:p>
        </w:tc>
      </w:tr>
      <w:tr>
        <w:tc>
          <w:tcPr/>
          <w:p>
            <w:pPr>
              <w:pStyle w:val="Compact"/>
              <w:jc w:val="left"/>
            </w:pPr>
            <w:r>
              <w:rPr>
                <w:sz w:val="19"/>
              </w:rPr>
              <w:t xml:space="preserve">C2.2</w:t>
            </w:r>
          </w:p>
        </w:tc>
        <w:tc>
          <w:tcPr/>
          <w:p>
            <w:pPr>
              <w:pStyle w:val="Compact"/>
              <w:jc w:val="left"/>
            </w:pPr>
            <w:r>
              <w:rPr>
                <w:sz w:val="19"/>
              </w:rPr>
              <w:t xml:space="preserve">Repair-Café / offene Werkstatt</w:t>
            </w:r>
          </w:p>
        </w:tc>
        <w:tc>
          <w:tcPr/>
          <w:p>
            <w:pPr>
              <w:pStyle w:val="Compact"/>
              <w:jc w:val="left"/>
            </w:pPr>
            <w:r>
              <w:rPr>
                <w:sz w:val="19"/>
              </w:rPr>
              <w:t xml:space="preserve">Gemeinsam reparieren, z. B. getragen von Ruheständlern</w:t>
            </w:r>
          </w:p>
        </w:tc>
        <w:tc>
          <w:tcPr/>
          <w:p>
            <w:pPr>
              <w:pStyle w:val="Compact"/>
            </w:pPr>
          </w:p>
        </w:tc>
      </w:tr>
      <w:tr>
        <w:tc>
          <w:tcPr/>
          <w:p>
            <w:pPr>
              <w:pStyle w:val="Compact"/>
              <w:jc w:val="left"/>
            </w:pPr>
            <w:r>
              <w:rPr>
                <w:sz w:val="19"/>
              </w:rPr>
              <w:t xml:space="preserve">C2.3</w:t>
            </w:r>
          </w:p>
        </w:tc>
        <w:tc>
          <w:tcPr/>
          <w:p>
            <w:pPr>
              <w:pStyle w:val="Compact"/>
              <w:jc w:val="left"/>
            </w:pPr>
            <w:r>
              <w:rPr>
                <w:sz w:val="19"/>
              </w:rPr>
              <w:t xml:space="preserve">Tauschregal, Floh- und Tauschmärkte</w:t>
            </w:r>
          </w:p>
        </w:tc>
        <w:tc>
          <w:tcPr/>
          <w:p>
            <w:pPr>
              <w:pStyle w:val="Compact"/>
              <w:jc w:val="left"/>
            </w:pPr>
            <w:r>
              <w:rPr>
                <w:sz w:val="19"/>
              </w:rPr>
              <w:t xml:space="preserve">Tauschen statt kaufen</w:t>
            </w:r>
          </w:p>
        </w:tc>
        <w:tc>
          <w:tcPr/>
          <w:p>
            <w:pPr>
              <w:pStyle w:val="Compact"/>
            </w:pPr>
          </w:p>
        </w:tc>
      </w:tr>
      <w:tr>
        <w:tc>
          <w:tcPr/>
          <w:p>
            <w:pPr>
              <w:pStyle w:val="Compact"/>
              <w:jc w:val="left"/>
            </w:pPr>
            <w:r>
              <w:rPr>
                <w:sz w:val="19"/>
              </w:rPr>
              <w:t xml:space="preserve">C2.4</w:t>
            </w:r>
          </w:p>
        </w:tc>
        <w:tc>
          <w:tcPr/>
          <w:p>
            <w:pPr>
              <w:pStyle w:val="Compact"/>
              <w:jc w:val="left"/>
            </w:pPr>
            <w:r>
              <w:rPr>
                <w:sz w:val="19"/>
              </w:rPr>
              <w:t xml:space="preserve">Sammelbestellungen</w:t>
            </w:r>
          </w:p>
        </w:tc>
        <w:tc>
          <w:tcPr/>
          <w:p>
            <w:pPr>
              <w:pStyle w:val="Compact"/>
              <w:jc w:val="left"/>
            </w:pPr>
            <w:r>
              <w:rPr>
                <w:sz w:val="19"/>
              </w:rPr>
              <w:t xml:space="preserve">Gartenerde, Reinigungsmittel, Lebensmittel gemeinsam einkaufen</w:t>
            </w:r>
          </w:p>
        </w:tc>
        <w:tc>
          <w:tcPr/>
          <w:p>
            <w:pPr>
              <w:pStyle w:val="Compact"/>
            </w:pPr>
          </w:p>
        </w:tc>
      </w:tr>
      <w:tr>
        <w:tc>
          <w:tcPr/>
          <w:p>
            <w:pPr>
              <w:pStyle w:val="Compact"/>
              <w:jc w:val="left"/>
            </w:pPr>
            <w:r>
              <w:rPr>
                <w:sz w:val="19"/>
              </w:rPr>
              <w:t xml:space="preserve">C2.5</w:t>
            </w:r>
          </w:p>
        </w:tc>
        <w:tc>
          <w:tcPr/>
          <w:p>
            <w:pPr>
              <w:pStyle w:val="Compact"/>
              <w:jc w:val="left"/>
            </w:pPr>
            <w:r>
              <w:rPr>
                <w:sz w:val="19"/>
              </w:rPr>
              <w:t xml:space="preserve">Sperrmüll- und Aufräumaktionen</w:t>
            </w:r>
          </w:p>
        </w:tc>
        <w:tc>
          <w:tcPr/>
          <w:p>
            <w:pPr>
              <w:pStyle w:val="Compact"/>
              <w:jc w:val="left"/>
            </w:pPr>
            <w:r>
              <w:rPr>
                <w:sz w:val="19"/>
              </w:rPr>
              <w:t xml:space="preserve">„Clean up the world“-Prinzip, Zuständigkeiten für Gemeinschaftsflächen</w:t>
            </w:r>
          </w:p>
        </w:tc>
        <w:tc>
          <w:tcPr/>
          <w:p>
            <w:pPr>
              <w:pStyle w:val="Compact"/>
            </w:pPr>
          </w:p>
        </w:tc>
      </w:tr>
      <w:tr>
        <w:tc>
          <w:tcPr/>
          <w:p>
            <w:pPr>
              <w:pStyle w:val="Compact"/>
              <w:jc w:val="left"/>
            </w:pPr>
            <w:r>
              <w:rPr>
                <w:sz w:val="19"/>
              </w:rPr>
              <w:t xml:space="preserve">C2.6</w:t>
            </w:r>
          </w:p>
        </w:tc>
        <w:tc>
          <w:tcPr/>
          <w:p>
            <w:pPr>
              <w:pStyle w:val="Compact"/>
              <w:jc w:val="left"/>
            </w:pPr>
            <w:r>
              <w:rPr>
                <w:sz w:val="19"/>
              </w:rPr>
              <w:t xml:space="preserve">Bessere Mülltrennung</w:t>
            </w:r>
          </w:p>
        </w:tc>
        <w:tc>
          <w:tcPr/>
          <w:p>
            <w:pPr>
              <w:pStyle w:val="Compact"/>
              <w:jc w:val="left"/>
            </w:pPr>
            <w:r>
              <w:rPr>
                <w:sz w:val="19"/>
              </w:rPr>
              <w:t xml:space="preserve">Gemeinsame Standards und Information</w:t>
            </w:r>
          </w:p>
        </w:tc>
        <w:tc>
          <w:tcPr/>
          <w:p>
            <w:pPr>
              <w:pStyle w:val="Compact"/>
            </w:pPr>
          </w:p>
        </w:tc>
      </w:tr>
      <w:tr>
        <w:tc>
          <w:tcPr/>
          <w:p>
            <w:pPr>
              <w:pStyle w:val="Compact"/>
              <w:jc w:val="left"/>
            </w:pPr>
            <w:r>
              <w:rPr>
                <w:sz w:val="19"/>
              </w:rPr>
              <w:t xml:space="preserve">C2.7</w:t>
            </w:r>
          </w:p>
        </w:tc>
        <w:tc>
          <w:tcPr/>
          <w:p>
            <w:pPr>
              <w:pStyle w:val="Compact"/>
              <w:jc w:val="left"/>
            </w:pPr>
            <w:r>
              <w:rPr>
                <w:sz w:val="19"/>
              </w:rPr>
              <w:t xml:space="preserve">Öffentlicher Bücherschrank</w:t>
            </w:r>
          </w:p>
        </w:tc>
        <w:tc>
          <w:tcPr/>
          <w:p>
            <w:pPr>
              <w:pStyle w:val="Compact"/>
              <w:jc w:val="left"/>
            </w:pPr>
            <w:r>
              <w:rPr>
                <w:sz w:val="19"/>
              </w:rPr>
              <w:t xml:space="preserve">Mitbetreuung: ordentlich halten, nicht überfüllen</w:t>
            </w:r>
          </w:p>
        </w:tc>
        <w:tc>
          <w:tcPr/>
          <w:p>
            <w:pPr>
              <w:pStyle w:val="Compact"/>
            </w:pPr>
          </w:p>
        </w:tc>
      </w:tr>
      <w:tr>
        <w:tc>
          <w:tcPr/>
          <w:p>
            <w:pPr>
              <w:pStyle w:val="Compact"/>
              <w:jc w:val="left"/>
            </w:pPr>
            <w:r>
              <w:rPr>
                <w:sz w:val="19"/>
              </w:rPr>
              <w:t xml:space="preserve">C2.8</w:t>
            </w:r>
          </w:p>
        </w:tc>
        <w:tc>
          <w:tcPr/>
          <w:p>
            <w:pPr>
              <w:pStyle w:val="Compact"/>
              <w:jc w:val="left"/>
            </w:pPr>
            <w:r>
              <w:rPr>
                <w:sz w:val="19"/>
              </w:rPr>
              <w:t xml:space="preserve">Fahrradverleih für Mitglieder und Gäste</w:t>
            </w:r>
          </w:p>
        </w:tc>
        <w:tc>
          <w:tcPr/>
          <w:p>
            <w:pPr>
              <w:pStyle w:val="Compact"/>
              <w:jc w:val="left"/>
            </w:pPr>
            <w:r>
              <w:rPr>
                <w:sz w:val="19"/>
              </w:rPr>
              <w:t xml:space="preserve">Für Mitglieder kostenlos, für andere günstiger als WK-Bike; bisher ist nur Lastenrad-Sharing geplant</w:t>
            </w:r>
          </w:p>
        </w:tc>
        <w:tc>
          <w:tcPr/>
          <w:p>
            <w:pPr>
              <w:pStyle w:val="Compact"/>
            </w:pPr>
          </w:p>
        </w:tc>
      </w:tr>
    </w:tbl>
    <w:bookmarkEnd w:id="24"/>
    <w:bookmarkStart w:id="25" w:name="c3-grün-klima-energie"/>
    <w:p>
      <w:pPr>
        <w:pStyle w:val="Heading2"/>
      </w:pPr>
      <w:r>
        <w:t xml:space="preserve">C3 Grün, Klima, Energie</w:t>
      </w:r>
    </w:p>
    <w:tbl>
      <w:tblPr>
        <w:tblStyle w:val="Table"/>
        <w:tblW w:type="pct" w:w="5000"/>
        <w:tblLook w:firstRow="1" w:lastRow="0" w:firstColumn="0" w:lastColumn="0" w:noHBand="0" w:noVBand="0" w:val="0020"/>
        <w:jc w:val="start"/>
        <w:tblBorders>
          <w:top w:val="single" w:sz="4" w:color="A0A7B4"/>
          <w:left w:val="single" w:sz="4" w:color="A0A7B4"/>
          <w:bottom w:val="single" w:sz="4" w:color="A0A7B4"/>
          <w:right w:val="single" w:sz="4" w:color="A0A7B4"/>
          <w:insideH w:val="single" w:sz="4" w:color="A0A7B4"/>
          <w:insideV w:val="single" w:sz="4" w:color="A0A7B4"/>
        </w:tblBorders>
      </w:tblPr>
      <w:tblGrid>
        <w:gridCol w:w="720"/>
        <w:gridCol w:w="1680"/>
        <w:gridCol w:w="4800"/>
        <w:gridCol w:w="720"/>
      </w:tblGrid>
      <w:tr>
        <w:trPr>
          <w:tblHeader w:val="true"/>
        </w:trPr>
        <w:tc>
          <w:tcPr>
            <w:shd w:val="clear" w:fill="E6EAF0"/>
          </w:tcPr>
          <w:p>
            <w:pPr>
              <w:pStyle w:val="Compact"/>
              <w:jc w:val="left"/>
            </w:pPr>
            <w:r>
              <w:rPr>
                <w:b/>
                <w:sz w:val="19"/>
              </w:rPr>
              <w:t xml:space="preserve">Nr.</w:t>
            </w:r>
          </w:p>
        </w:tc>
        <w:tc>
          <w:tcPr>
            <w:shd w:val="clear" w:fill="E6EAF0"/>
          </w:tcPr>
          <w:p>
            <w:pPr>
              <w:pStyle w:val="Compact"/>
              <w:jc w:val="left"/>
            </w:pPr>
            <w:r>
              <w:rPr>
                <w:b/>
                <w:sz w:val="19"/>
              </w:rPr>
              <w:t xml:space="preserve">Engagement</w:t>
            </w:r>
          </w:p>
        </w:tc>
        <w:tc>
          <w:tcPr>
            <w:shd w:val="clear" w:fill="E6EAF0"/>
          </w:tcPr>
          <w:p>
            <w:pPr>
              <w:pStyle w:val="Compact"/>
              <w:jc w:val="left"/>
            </w:pPr>
            <w:r>
              <w:rPr>
                <w:b/>
                <w:sz w:val="19"/>
              </w:rPr>
              <w:t xml:space="preserve">Kurzbeschreibung</w:t>
            </w:r>
          </w:p>
        </w:tc>
        <w:tc>
          <w:tcPr>
            <w:shd w:val="clear" w:fill="E6EAF0"/>
          </w:tcPr>
          <w:p>
            <w:pPr>
              <w:pStyle w:val="Compact"/>
              <w:jc w:val="left"/>
            </w:pPr>
            <w:r>
              <w:rPr>
                <w:b/>
                <w:sz w:val="19"/>
              </w:rPr>
              <w:t xml:space="preserve">Priorität</w:t>
            </w:r>
          </w:p>
        </w:tc>
      </w:tr>
      <w:tr>
        <w:tc>
          <w:tcPr/>
          <w:p>
            <w:pPr>
              <w:pStyle w:val="Compact"/>
              <w:jc w:val="left"/>
            </w:pPr>
            <w:r>
              <w:rPr>
                <w:sz w:val="19"/>
              </w:rPr>
              <w:t xml:space="preserve">C3.1</w:t>
            </w:r>
          </w:p>
        </w:tc>
        <w:tc>
          <w:tcPr/>
          <w:p>
            <w:pPr>
              <w:pStyle w:val="Compact"/>
              <w:jc w:val="left"/>
            </w:pPr>
            <w:r>
              <w:rPr>
                <w:sz w:val="19"/>
              </w:rPr>
              <w:t xml:space="preserve">Gemeinschaftsgarten</w:t>
            </w:r>
          </w:p>
        </w:tc>
        <w:tc>
          <w:tcPr/>
          <w:p>
            <w:pPr>
              <w:pStyle w:val="Compact"/>
              <w:jc w:val="left"/>
            </w:pPr>
            <w:r>
              <w:rPr>
                <w:sz w:val="19"/>
              </w:rPr>
              <w:t xml:space="preserve">Hochbeete, Gemüse, Kräuter, Obst; Ernte teilen; Nutzung der Gewächshäuser</w:t>
            </w:r>
          </w:p>
        </w:tc>
        <w:tc>
          <w:tcPr/>
          <w:p>
            <w:pPr>
              <w:pStyle w:val="Compact"/>
            </w:pPr>
          </w:p>
        </w:tc>
      </w:tr>
      <w:tr>
        <w:tc>
          <w:tcPr/>
          <w:p>
            <w:pPr>
              <w:pStyle w:val="Compact"/>
              <w:jc w:val="left"/>
            </w:pPr>
            <w:r>
              <w:rPr>
                <w:sz w:val="19"/>
              </w:rPr>
              <w:t xml:space="preserve">C3.2</w:t>
            </w:r>
          </w:p>
        </w:tc>
        <w:tc>
          <w:tcPr/>
          <w:p>
            <w:pPr>
              <w:pStyle w:val="Compact"/>
              <w:jc w:val="left"/>
            </w:pPr>
            <w:r>
              <w:rPr>
                <w:sz w:val="19"/>
              </w:rPr>
              <w:t xml:space="preserve">Grünpatenschaften</w:t>
            </w:r>
          </w:p>
        </w:tc>
        <w:tc>
          <w:tcPr/>
          <w:p>
            <w:pPr>
              <w:pStyle w:val="Compact"/>
              <w:jc w:val="left"/>
            </w:pPr>
            <w:r>
              <w:rPr>
                <w:sz w:val="19"/>
              </w:rPr>
              <w:t xml:space="preserve">Patenschaft für Beet, Baum oder Grünfläche</w:t>
            </w:r>
          </w:p>
        </w:tc>
        <w:tc>
          <w:tcPr/>
          <w:p>
            <w:pPr>
              <w:pStyle w:val="Compact"/>
            </w:pPr>
          </w:p>
        </w:tc>
      </w:tr>
      <w:tr>
        <w:tc>
          <w:tcPr/>
          <w:p>
            <w:pPr>
              <w:pStyle w:val="Compact"/>
              <w:jc w:val="left"/>
            </w:pPr>
            <w:r>
              <w:rPr>
                <w:sz w:val="19"/>
              </w:rPr>
              <w:t xml:space="preserve">C3.3</w:t>
            </w:r>
          </w:p>
        </w:tc>
        <w:tc>
          <w:tcPr/>
          <w:p>
            <w:pPr>
              <w:pStyle w:val="Compact"/>
              <w:jc w:val="left"/>
            </w:pPr>
            <w:r>
              <w:rPr>
                <w:sz w:val="19"/>
              </w:rPr>
              <w:t xml:space="preserve">Pflege der Regenbeete</w:t>
            </w:r>
          </w:p>
        </w:tc>
        <w:tc>
          <w:tcPr/>
          <w:p>
            <w:pPr>
              <w:pStyle w:val="Compact"/>
              <w:jc w:val="left"/>
            </w:pPr>
            <w:r>
              <w:rPr>
                <w:sz w:val="19"/>
              </w:rPr>
              <w:t xml:space="preserve">Unterstützung der Schwammstadt-Funktion</w:t>
            </w:r>
          </w:p>
        </w:tc>
        <w:tc>
          <w:tcPr/>
          <w:p>
            <w:pPr>
              <w:pStyle w:val="Compact"/>
            </w:pPr>
          </w:p>
        </w:tc>
      </w:tr>
      <w:tr>
        <w:tc>
          <w:tcPr/>
          <w:p>
            <w:pPr>
              <w:pStyle w:val="Compact"/>
              <w:jc w:val="left"/>
            </w:pPr>
            <w:r>
              <w:rPr>
                <w:sz w:val="19"/>
              </w:rPr>
              <w:t xml:space="preserve">C3.4</w:t>
            </w:r>
          </w:p>
        </w:tc>
        <w:tc>
          <w:tcPr/>
          <w:p>
            <w:pPr>
              <w:pStyle w:val="Compact"/>
              <w:jc w:val="left"/>
            </w:pPr>
            <w:r>
              <w:rPr>
                <w:sz w:val="19"/>
              </w:rPr>
              <w:t xml:space="preserve">Energieberatung im Quartier</w:t>
            </w:r>
          </w:p>
        </w:tc>
        <w:tc>
          <w:tcPr/>
          <w:p>
            <w:pPr>
              <w:pStyle w:val="Compact"/>
              <w:jc w:val="left"/>
            </w:pPr>
            <w:r>
              <w:rPr>
                <w:sz w:val="19"/>
              </w:rPr>
              <w:t xml:space="preserve">Tipps zum Strom- und Wärmesparen, ggf. eigener Energieberater</w:t>
            </w:r>
          </w:p>
        </w:tc>
        <w:tc>
          <w:tcPr/>
          <w:p>
            <w:pPr>
              <w:pStyle w:val="Compact"/>
            </w:pPr>
          </w:p>
        </w:tc>
      </w:tr>
    </w:tbl>
    <w:bookmarkEnd w:id="25"/>
    <w:bookmarkStart w:id="26" w:name="c4-kultur-gastronomie-und-leben-am-abend"/>
    <w:p>
      <w:pPr>
        <w:pStyle w:val="Heading2"/>
      </w:pPr>
      <w:r>
        <w:t xml:space="preserve">C4 Kultur, Gastronomie und Leben am Abend</w:t>
      </w:r>
    </w:p>
    <w:tbl>
      <w:tblPr>
        <w:tblStyle w:val="Table"/>
        <w:tblW w:type="pct" w:w="5000"/>
        <w:tblLook w:firstRow="1" w:lastRow="0" w:firstColumn="0" w:lastColumn="0" w:noHBand="0" w:noVBand="0" w:val="0020"/>
        <w:jc w:val="start"/>
        <w:tblBorders>
          <w:top w:val="single" w:sz="4" w:color="A0A7B4"/>
          <w:left w:val="single" w:sz="4" w:color="A0A7B4"/>
          <w:bottom w:val="single" w:sz="4" w:color="A0A7B4"/>
          <w:right w:val="single" w:sz="4" w:color="A0A7B4"/>
          <w:insideH w:val="single" w:sz="4" w:color="A0A7B4"/>
          <w:insideV w:val="single" w:sz="4" w:color="A0A7B4"/>
        </w:tblBorders>
      </w:tblPr>
      <w:tblGrid>
        <w:gridCol w:w="720"/>
        <w:gridCol w:w="1680"/>
        <w:gridCol w:w="4800"/>
        <w:gridCol w:w="720"/>
      </w:tblGrid>
      <w:tr>
        <w:trPr>
          <w:tblHeader w:val="true"/>
        </w:trPr>
        <w:tc>
          <w:tcPr>
            <w:shd w:val="clear" w:fill="E6EAF0"/>
          </w:tcPr>
          <w:p>
            <w:pPr>
              <w:pStyle w:val="Compact"/>
              <w:jc w:val="left"/>
            </w:pPr>
            <w:r>
              <w:rPr>
                <w:b/>
                <w:sz w:val="19"/>
              </w:rPr>
              <w:t xml:space="preserve">Nr.</w:t>
            </w:r>
          </w:p>
        </w:tc>
        <w:tc>
          <w:tcPr>
            <w:shd w:val="clear" w:fill="E6EAF0"/>
          </w:tcPr>
          <w:p>
            <w:pPr>
              <w:pStyle w:val="Compact"/>
              <w:jc w:val="left"/>
            </w:pPr>
            <w:r>
              <w:rPr>
                <w:b/>
                <w:sz w:val="19"/>
              </w:rPr>
              <w:t xml:space="preserve">Engagement</w:t>
            </w:r>
          </w:p>
        </w:tc>
        <w:tc>
          <w:tcPr>
            <w:shd w:val="clear" w:fill="E6EAF0"/>
          </w:tcPr>
          <w:p>
            <w:pPr>
              <w:pStyle w:val="Compact"/>
              <w:jc w:val="left"/>
            </w:pPr>
            <w:r>
              <w:rPr>
                <w:b/>
                <w:sz w:val="19"/>
              </w:rPr>
              <w:t xml:space="preserve">Kurzbeschreibung</w:t>
            </w:r>
          </w:p>
        </w:tc>
        <w:tc>
          <w:tcPr>
            <w:shd w:val="clear" w:fill="E6EAF0"/>
          </w:tcPr>
          <w:p>
            <w:pPr>
              <w:pStyle w:val="Compact"/>
              <w:jc w:val="left"/>
            </w:pPr>
            <w:r>
              <w:rPr>
                <w:b/>
                <w:sz w:val="19"/>
              </w:rPr>
              <w:t xml:space="preserve">Priorität</w:t>
            </w:r>
          </w:p>
        </w:tc>
      </w:tr>
      <w:tr>
        <w:tc>
          <w:tcPr/>
          <w:p>
            <w:pPr>
              <w:pStyle w:val="Compact"/>
              <w:jc w:val="left"/>
            </w:pPr>
            <w:r>
              <w:rPr>
                <w:sz w:val="19"/>
              </w:rPr>
              <w:t xml:space="preserve">C4.1</w:t>
            </w:r>
          </w:p>
        </w:tc>
        <w:tc>
          <w:tcPr/>
          <w:p>
            <w:pPr>
              <w:pStyle w:val="Compact"/>
              <w:jc w:val="left"/>
            </w:pPr>
            <w:r>
              <w:rPr>
                <w:sz w:val="19"/>
              </w:rPr>
              <w:t xml:space="preserve">Bühne / Veranstaltungsraum</w:t>
            </w:r>
          </w:p>
        </w:tc>
        <w:tc>
          <w:tcPr/>
          <w:p>
            <w:pPr>
              <w:pStyle w:val="Compact"/>
              <w:jc w:val="left"/>
            </w:pPr>
            <w:r>
              <w:rPr>
                <w:sz w:val="19"/>
              </w:rPr>
              <w:t xml:space="preserve">Kleine Bühne, Open-Air-Fläche für Sommerkonzerte, feste Lärmzeitfenster</w:t>
            </w:r>
          </w:p>
        </w:tc>
        <w:tc>
          <w:tcPr/>
          <w:p>
            <w:pPr>
              <w:pStyle w:val="Compact"/>
            </w:pPr>
          </w:p>
        </w:tc>
      </w:tr>
      <w:tr>
        <w:tc>
          <w:tcPr/>
          <w:p>
            <w:pPr>
              <w:pStyle w:val="Compact"/>
              <w:jc w:val="left"/>
            </w:pPr>
            <w:r>
              <w:rPr>
                <w:sz w:val="19"/>
              </w:rPr>
              <w:t xml:space="preserve">C4.2</w:t>
            </w:r>
          </w:p>
        </w:tc>
        <w:tc>
          <w:tcPr/>
          <w:p>
            <w:pPr>
              <w:pStyle w:val="Compact"/>
              <w:jc w:val="left"/>
            </w:pPr>
            <w:r>
              <w:rPr>
                <w:sz w:val="19"/>
              </w:rPr>
              <w:t xml:space="preserve">Kulturbudget</w:t>
            </w:r>
          </w:p>
        </w:tc>
        <w:tc>
          <w:tcPr/>
          <w:p>
            <w:pPr>
              <w:pStyle w:val="Compact"/>
              <w:jc w:val="left"/>
            </w:pPr>
            <w:r>
              <w:rPr>
                <w:sz w:val="19"/>
              </w:rPr>
              <w:t xml:space="preserve">Jährliches Budget, über das die Mitglieder abstimmen</w:t>
            </w:r>
          </w:p>
        </w:tc>
        <w:tc>
          <w:tcPr/>
          <w:p>
            <w:pPr>
              <w:pStyle w:val="Compact"/>
            </w:pPr>
          </w:p>
        </w:tc>
      </w:tr>
      <w:tr>
        <w:tc>
          <w:tcPr/>
          <w:p>
            <w:pPr>
              <w:pStyle w:val="Compact"/>
              <w:jc w:val="left"/>
            </w:pPr>
            <w:r>
              <w:rPr>
                <w:sz w:val="19"/>
              </w:rPr>
              <w:t xml:space="preserve">C4.3</w:t>
            </w:r>
          </w:p>
        </w:tc>
        <w:tc>
          <w:tcPr/>
          <w:p>
            <w:pPr>
              <w:pStyle w:val="Compact"/>
              <w:jc w:val="left"/>
            </w:pPr>
            <w:r>
              <w:rPr>
                <w:sz w:val="19"/>
              </w:rPr>
              <w:t xml:space="preserve">Kulturpartner</w:t>
            </w:r>
          </w:p>
        </w:tc>
        <w:tc>
          <w:tcPr/>
          <w:p>
            <w:pPr>
              <w:pStyle w:val="Compact"/>
              <w:jc w:val="left"/>
            </w:pPr>
            <w:r>
              <w:rPr>
                <w:sz w:val="19"/>
              </w:rPr>
              <w:t xml:space="preserve">Lokale Bands, Bremer Clubs, Hochschule für Künste, Künstlerinnenkolonie</w:t>
            </w:r>
          </w:p>
        </w:tc>
        <w:tc>
          <w:tcPr/>
          <w:p>
            <w:pPr>
              <w:pStyle w:val="Compact"/>
            </w:pPr>
          </w:p>
        </w:tc>
      </w:tr>
      <w:tr>
        <w:tc>
          <w:tcPr/>
          <w:p>
            <w:pPr>
              <w:pStyle w:val="Compact"/>
              <w:jc w:val="left"/>
            </w:pPr>
            <w:r>
              <w:rPr>
                <w:sz w:val="19"/>
              </w:rPr>
              <w:t xml:space="preserve">C4.4</w:t>
            </w:r>
          </w:p>
        </w:tc>
        <w:tc>
          <w:tcPr/>
          <w:p>
            <w:pPr>
              <w:pStyle w:val="Compact"/>
              <w:jc w:val="left"/>
            </w:pPr>
            <w:r>
              <w:rPr>
                <w:sz w:val="19"/>
              </w:rPr>
              <w:t xml:space="preserve">Gründer-Gastronomie</w:t>
            </w:r>
          </w:p>
        </w:tc>
        <w:tc>
          <w:tcPr/>
          <w:p>
            <w:pPr>
              <w:pStyle w:val="Compact"/>
              <w:jc w:val="left"/>
            </w:pPr>
            <w:r>
              <w:rPr>
                <w:sz w:val="19"/>
              </w:rPr>
              <w:t xml:space="preserve">Erdgeschossflächen zu fairen Einstiegsmieten für junge Gastronomen und Gründer</w:t>
            </w:r>
          </w:p>
        </w:tc>
        <w:tc>
          <w:tcPr/>
          <w:p>
            <w:pPr>
              <w:pStyle w:val="Compact"/>
            </w:pPr>
          </w:p>
        </w:tc>
      </w:tr>
      <w:tr>
        <w:tc>
          <w:tcPr/>
          <w:p>
            <w:pPr>
              <w:pStyle w:val="Compact"/>
              <w:jc w:val="left"/>
            </w:pPr>
            <w:r>
              <w:rPr>
                <w:sz w:val="19"/>
              </w:rPr>
              <w:t xml:space="preserve">C4.5</w:t>
            </w:r>
          </w:p>
        </w:tc>
        <w:tc>
          <w:tcPr/>
          <w:p>
            <w:pPr>
              <w:pStyle w:val="Compact"/>
              <w:jc w:val="left"/>
            </w:pPr>
            <w:r>
              <w:rPr>
                <w:sz w:val="19"/>
              </w:rPr>
              <w:t xml:space="preserve">Beschäftigtenangebote</w:t>
            </w:r>
          </w:p>
        </w:tc>
        <w:tc>
          <w:tcPr/>
          <w:p>
            <w:pPr>
              <w:pStyle w:val="Compact"/>
              <w:jc w:val="left"/>
            </w:pPr>
            <w:r>
              <w:rPr>
                <w:sz w:val="19"/>
              </w:rPr>
              <w:t xml:space="preserve">Mittagstisch, After-Work, Konzerte unter der Woche</w:t>
            </w:r>
          </w:p>
        </w:tc>
        <w:tc>
          <w:tcPr/>
          <w:p>
            <w:pPr>
              <w:pStyle w:val="Compact"/>
            </w:pPr>
          </w:p>
        </w:tc>
      </w:tr>
      <w:tr>
        <w:tc>
          <w:tcPr/>
          <w:p>
            <w:pPr>
              <w:pStyle w:val="Compact"/>
              <w:jc w:val="left"/>
            </w:pPr>
            <w:r>
              <w:rPr>
                <w:sz w:val="19"/>
              </w:rPr>
              <w:t xml:space="preserve">C4.6</w:t>
            </w:r>
          </w:p>
        </w:tc>
        <w:tc>
          <w:tcPr/>
          <w:p>
            <w:pPr>
              <w:pStyle w:val="Compact"/>
              <w:jc w:val="left"/>
            </w:pPr>
            <w:r>
              <w:rPr>
                <w:sz w:val="19"/>
              </w:rPr>
              <w:t xml:space="preserve">Gemeinsam kochen und essen</w:t>
            </w:r>
          </w:p>
        </w:tc>
        <w:tc>
          <w:tcPr/>
          <w:p>
            <w:pPr>
              <w:pStyle w:val="Compact"/>
              <w:jc w:val="left"/>
            </w:pPr>
            <w:r>
              <w:rPr>
                <w:sz w:val="19"/>
              </w:rPr>
              <w:t xml:space="preserve">White Nights in den Grünflächen, Grünkohlessen in Gemeinschaftsräumen</w:t>
            </w:r>
          </w:p>
        </w:tc>
        <w:tc>
          <w:tcPr/>
          <w:p>
            <w:pPr>
              <w:pStyle w:val="Compact"/>
            </w:pPr>
          </w:p>
        </w:tc>
      </w:tr>
      <w:tr>
        <w:tc>
          <w:tcPr/>
          <w:p>
            <w:pPr>
              <w:pStyle w:val="Compact"/>
              <w:jc w:val="left"/>
            </w:pPr>
            <w:r>
              <w:rPr>
                <w:sz w:val="19"/>
              </w:rPr>
              <w:t xml:space="preserve">C4.7</w:t>
            </w:r>
          </w:p>
        </w:tc>
        <w:tc>
          <w:tcPr/>
          <w:p>
            <w:pPr>
              <w:pStyle w:val="Compact"/>
              <w:jc w:val="left"/>
            </w:pPr>
            <w:r>
              <w:rPr>
                <w:sz w:val="19"/>
              </w:rPr>
              <w:t xml:space="preserve">Public Viewing und Open-Air-Kino</w:t>
            </w:r>
          </w:p>
        </w:tc>
        <w:tc>
          <w:tcPr/>
          <w:p>
            <w:pPr>
              <w:pStyle w:val="Compact"/>
              <w:jc w:val="left"/>
            </w:pPr>
            <w:r>
              <w:rPr>
                <w:sz w:val="19"/>
              </w:rPr>
              <w:t xml:space="preserve">Fußball, Filme vor dem Klimaturm-Bildschirm, in Absprache mit Towergy</w:t>
            </w:r>
          </w:p>
        </w:tc>
        <w:tc>
          <w:tcPr/>
          <w:p>
            <w:pPr>
              <w:pStyle w:val="Compact"/>
            </w:pPr>
          </w:p>
        </w:tc>
      </w:tr>
      <w:tr>
        <w:tc>
          <w:tcPr/>
          <w:p>
            <w:pPr>
              <w:pStyle w:val="Compact"/>
              <w:jc w:val="left"/>
            </w:pPr>
            <w:r>
              <w:rPr>
                <w:sz w:val="19"/>
              </w:rPr>
              <w:t xml:space="preserve">C4.8</w:t>
            </w:r>
          </w:p>
        </w:tc>
        <w:tc>
          <w:tcPr/>
          <w:p>
            <w:pPr>
              <w:pStyle w:val="Compact"/>
              <w:jc w:val="left"/>
            </w:pPr>
            <w:r>
              <w:rPr>
                <w:sz w:val="19"/>
              </w:rPr>
              <w:t xml:space="preserve">Nachtleben</w:t>
            </w:r>
          </w:p>
        </w:tc>
        <w:tc>
          <w:tcPr/>
          <w:p>
            <w:pPr>
              <w:pStyle w:val="Compact"/>
              <w:jc w:val="left"/>
            </w:pPr>
            <w:r>
              <w:rPr>
                <w:sz w:val="19"/>
              </w:rPr>
              <w:t xml:space="preserve">Prüfidee: Bunker hinter den Künstlerateliers bei der Alten Werft als Club bzw. Veranstaltungsraum</w:t>
            </w:r>
          </w:p>
        </w:tc>
        <w:tc>
          <w:tcPr/>
          <w:p>
            <w:pPr>
              <w:pStyle w:val="Compact"/>
            </w:pPr>
          </w:p>
        </w:tc>
      </w:tr>
    </w:tbl>
    <w:bookmarkEnd w:id="26"/>
    <w:bookmarkStart w:id="27" w:name="c5-bildung-bewegung-arbeiten"/>
    <w:p>
      <w:pPr>
        <w:pStyle w:val="Heading2"/>
      </w:pPr>
      <w:r>
        <w:t xml:space="preserve">C5 Bildung, Bewegung, Arbeiten</w:t>
      </w:r>
    </w:p>
    <w:tbl>
      <w:tblPr>
        <w:tblStyle w:val="Table"/>
        <w:tblW w:type="pct" w:w="5000"/>
        <w:tblLook w:firstRow="1" w:lastRow="0" w:firstColumn="0" w:lastColumn="0" w:noHBand="0" w:noVBand="0" w:val="0020"/>
        <w:jc w:val="start"/>
        <w:tblBorders>
          <w:top w:val="single" w:sz="4" w:color="A0A7B4"/>
          <w:left w:val="single" w:sz="4" w:color="A0A7B4"/>
          <w:bottom w:val="single" w:sz="4" w:color="A0A7B4"/>
          <w:right w:val="single" w:sz="4" w:color="A0A7B4"/>
          <w:insideH w:val="single" w:sz="4" w:color="A0A7B4"/>
          <w:insideV w:val="single" w:sz="4" w:color="A0A7B4"/>
        </w:tblBorders>
      </w:tblPr>
      <w:tblGrid>
        <w:gridCol w:w="720"/>
        <w:gridCol w:w="1680"/>
        <w:gridCol w:w="4800"/>
        <w:gridCol w:w="720"/>
      </w:tblGrid>
      <w:tr>
        <w:trPr>
          <w:tblHeader w:val="true"/>
        </w:trPr>
        <w:tc>
          <w:tcPr>
            <w:shd w:val="clear" w:fill="E6EAF0"/>
          </w:tcPr>
          <w:p>
            <w:pPr>
              <w:pStyle w:val="Compact"/>
              <w:jc w:val="left"/>
            </w:pPr>
            <w:r>
              <w:rPr>
                <w:b/>
                <w:sz w:val="19"/>
              </w:rPr>
              <w:t xml:space="preserve">Nr.</w:t>
            </w:r>
          </w:p>
        </w:tc>
        <w:tc>
          <w:tcPr>
            <w:shd w:val="clear" w:fill="E6EAF0"/>
          </w:tcPr>
          <w:p>
            <w:pPr>
              <w:pStyle w:val="Compact"/>
              <w:jc w:val="left"/>
            </w:pPr>
            <w:r>
              <w:rPr>
                <w:b/>
                <w:sz w:val="19"/>
              </w:rPr>
              <w:t xml:space="preserve">Engagement</w:t>
            </w:r>
          </w:p>
        </w:tc>
        <w:tc>
          <w:tcPr>
            <w:shd w:val="clear" w:fill="E6EAF0"/>
          </w:tcPr>
          <w:p>
            <w:pPr>
              <w:pStyle w:val="Compact"/>
              <w:jc w:val="left"/>
            </w:pPr>
            <w:r>
              <w:rPr>
                <w:b/>
                <w:sz w:val="19"/>
              </w:rPr>
              <w:t xml:space="preserve">Kurzbeschreibung</w:t>
            </w:r>
          </w:p>
        </w:tc>
        <w:tc>
          <w:tcPr>
            <w:shd w:val="clear" w:fill="E6EAF0"/>
          </w:tcPr>
          <w:p>
            <w:pPr>
              <w:pStyle w:val="Compact"/>
              <w:jc w:val="left"/>
            </w:pPr>
            <w:r>
              <w:rPr>
                <w:b/>
                <w:sz w:val="19"/>
              </w:rPr>
              <w:t xml:space="preserve">Priorität</w:t>
            </w:r>
          </w:p>
        </w:tc>
      </w:tr>
      <w:tr>
        <w:tc>
          <w:tcPr/>
          <w:p>
            <w:pPr>
              <w:pStyle w:val="Compact"/>
              <w:jc w:val="left"/>
            </w:pPr>
            <w:r>
              <w:rPr>
                <w:sz w:val="19"/>
              </w:rPr>
              <w:t xml:space="preserve">C5.1</w:t>
            </w:r>
          </w:p>
        </w:tc>
        <w:tc>
          <w:tcPr/>
          <w:p>
            <w:pPr>
              <w:pStyle w:val="Compact"/>
              <w:jc w:val="left"/>
            </w:pPr>
            <w:r>
              <w:rPr>
                <w:sz w:val="19"/>
              </w:rPr>
              <w:t xml:space="preserve">Wissen teilen</w:t>
            </w:r>
          </w:p>
        </w:tc>
        <w:tc>
          <w:tcPr/>
          <w:p>
            <w:pPr>
              <w:pStyle w:val="Compact"/>
              <w:jc w:val="left"/>
            </w:pPr>
            <w:r>
              <w:rPr>
                <w:sz w:val="19"/>
              </w:rPr>
              <w:t xml:space="preserve">Sprachcafé, Hausaufgabenhilfe, Lernpatenschaften, Workshops und Vorträge</w:t>
            </w:r>
          </w:p>
        </w:tc>
        <w:tc>
          <w:tcPr/>
          <w:p>
            <w:pPr>
              <w:pStyle w:val="Compact"/>
            </w:pPr>
          </w:p>
        </w:tc>
      </w:tr>
      <w:tr>
        <w:tc>
          <w:tcPr/>
          <w:p>
            <w:pPr>
              <w:pStyle w:val="Compact"/>
              <w:jc w:val="left"/>
            </w:pPr>
            <w:r>
              <w:rPr>
                <w:sz w:val="19"/>
              </w:rPr>
              <w:t xml:space="preserve">C5.2</w:t>
            </w:r>
          </w:p>
        </w:tc>
        <w:tc>
          <w:tcPr/>
          <w:p>
            <w:pPr>
              <w:pStyle w:val="Compact"/>
              <w:jc w:val="left"/>
            </w:pPr>
            <w:r>
              <w:rPr>
                <w:sz w:val="19"/>
              </w:rPr>
              <w:t xml:space="preserve">Bewegung</w:t>
            </w:r>
          </w:p>
        </w:tc>
        <w:tc>
          <w:tcPr/>
          <w:p>
            <w:pPr>
              <w:pStyle w:val="Compact"/>
              <w:jc w:val="left"/>
            </w:pPr>
            <w:r>
              <w:rPr>
                <w:sz w:val="19"/>
              </w:rPr>
              <w:t xml:space="preserve">Sportgruppen, Spaziergänge, Fahrradtouren</w:t>
            </w:r>
          </w:p>
        </w:tc>
        <w:tc>
          <w:tcPr/>
          <w:p>
            <w:pPr>
              <w:pStyle w:val="Compact"/>
            </w:pPr>
          </w:p>
        </w:tc>
      </w:tr>
      <w:tr>
        <w:tc>
          <w:tcPr/>
          <w:p>
            <w:pPr>
              <w:pStyle w:val="Compact"/>
              <w:jc w:val="left"/>
            </w:pPr>
            <w:r>
              <w:rPr>
                <w:sz w:val="19"/>
              </w:rPr>
              <w:t xml:space="preserve">C5.3</w:t>
            </w:r>
          </w:p>
        </w:tc>
        <w:tc>
          <w:tcPr/>
          <w:p>
            <w:pPr>
              <w:pStyle w:val="Compact"/>
              <w:jc w:val="left"/>
            </w:pPr>
            <w:r>
              <w:rPr>
                <w:sz w:val="19"/>
              </w:rPr>
              <w:t xml:space="preserve">Co-Working</w:t>
            </w:r>
          </w:p>
        </w:tc>
        <w:tc>
          <w:tcPr/>
          <w:p>
            <w:pPr>
              <w:pStyle w:val="Compact"/>
              <w:jc w:val="left"/>
            </w:pPr>
            <w:r>
              <w:rPr>
                <w:sz w:val="19"/>
              </w:rPr>
              <w:t xml:space="preserve">Arbeitsplätze und ruhige Ecken für Homeoffice und eigene Projekte</w:t>
            </w:r>
          </w:p>
        </w:tc>
        <w:tc>
          <w:tcPr/>
          <w:p>
            <w:pPr>
              <w:pStyle w:val="Compact"/>
            </w:pPr>
          </w:p>
        </w:tc>
      </w:tr>
      <w:tr>
        <w:tc>
          <w:tcPr/>
          <w:p>
            <w:pPr>
              <w:pStyle w:val="Compact"/>
              <w:jc w:val="left"/>
            </w:pPr>
            <w:r>
              <w:rPr>
                <w:sz w:val="19"/>
              </w:rPr>
              <w:t xml:space="preserve">C5.4</w:t>
            </w:r>
          </w:p>
        </w:tc>
        <w:tc>
          <w:tcPr/>
          <w:p>
            <w:pPr>
              <w:pStyle w:val="Compact"/>
              <w:jc w:val="left"/>
            </w:pPr>
            <w:r>
              <w:rPr>
                <w:sz w:val="19"/>
              </w:rPr>
              <w:t xml:space="preserve">Kompetenzbörse</w:t>
            </w:r>
          </w:p>
        </w:tc>
        <w:tc>
          <w:tcPr/>
          <w:p>
            <w:pPr>
              <w:pStyle w:val="Compact"/>
              <w:jc w:val="left"/>
            </w:pPr>
            <w:r>
              <w:rPr>
                <w:sz w:val="19"/>
              </w:rPr>
              <w:t xml:space="preserve">Wer etwas kann, hilft anderen (Handwerk, Garten, IT)</w:t>
            </w:r>
          </w:p>
        </w:tc>
        <w:tc>
          <w:tcPr/>
          <w:p>
            <w:pPr>
              <w:pStyle w:val="Compact"/>
            </w:pPr>
          </w:p>
        </w:tc>
      </w:tr>
    </w:tbl>
    <w:bookmarkEnd w:id="27"/>
    <w:bookmarkStart w:id="28" w:name="c6-netzwerk-und-finanzierung"/>
    <w:p>
      <w:pPr>
        <w:pStyle w:val="Heading2"/>
      </w:pPr>
      <w:r>
        <w:t xml:space="preserve">C6 Netzwerk und Finanzierung</w:t>
      </w:r>
    </w:p>
    <w:tbl>
      <w:tblPr>
        <w:tblStyle w:val="Table"/>
        <w:tblW w:type="pct" w:w="5000"/>
        <w:tblLook w:firstRow="1" w:lastRow="0" w:firstColumn="0" w:lastColumn="0" w:noHBand="0" w:noVBand="0" w:val="0020"/>
        <w:jc w:val="start"/>
        <w:tblBorders>
          <w:top w:val="single" w:sz="4" w:color="A0A7B4"/>
          <w:left w:val="single" w:sz="4" w:color="A0A7B4"/>
          <w:bottom w:val="single" w:sz="4" w:color="A0A7B4"/>
          <w:right w:val="single" w:sz="4" w:color="A0A7B4"/>
          <w:insideH w:val="single" w:sz="4" w:color="A0A7B4"/>
          <w:insideV w:val="single" w:sz="4" w:color="A0A7B4"/>
        </w:tblBorders>
      </w:tblPr>
      <w:tblGrid>
        <w:gridCol w:w="720"/>
        <w:gridCol w:w="1680"/>
        <w:gridCol w:w="4800"/>
        <w:gridCol w:w="720"/>
      </w:tblGrid>
      <w:tr>
        <w:trPr>
          <w:tblHeader w:val="true"/>
        </w:trPr>
        <w:tc>
          <w:tcPr>
            <w:shd w:val="clear" w:fill="E6EAF0"/>
          </w:tcPr>
          <w:p>
            <w:pPr>
              <w:pStyle w:val="Compact"/>
              <w:jc w:val="left"/>
            </w:pPr>
            <w:r>
              <w:rPr>
                <w:b/>
                <w:sz w:val="19"/>
              </w:rPr>
              <w:t xml:space="preserve">Nr.</w:t>
            </w:r>
          </w:p>
        </w:tc>
        <w:tc>
          <w:tcPr>
            <w:shd w:val="clear" w:fill="E6EAF0"/>
          </w:tcPr>
          <w:p>
            <w:pPr>
              <w:pStyle w:val="Compact"/>
              <w:jc w:val="left"/>
            </w:pPr>
            <w:r>
              <w:rPr>
                <w:b/>
                <w:sz w:val="19"/>
              </w:rPr>
              <w:t xml:space="preserve">Engagement</w:t>
            </w:r>
          </w:p>
        </w:tc>
        <w:tc>
          <w:tcPr>
            <w:shd w:val="clear" w:fill="E6EAF0"/>
          </w:tcPr>
          <w:p>
            <w:pPr>
              <w:pStyle w:val="Compact"/>
              <w:jc w:val="left"/>
            </w:pPr>
            <w:r>
              <w:rPr>
                <w:b/>
                <w:sz w:val="19"/>
              </w:rPr>
              <w:t xml:space="preserve">Kurzbeschreibung</w:t>
            </w:r>
          </w:p>
        </w:tc>
        <w:tc>
          <w:tcPr>
            <w:shd w:val="clear" w:fill="E6EAF0"/>
          </w:tcPr>
          <w:p>
            <w:pPr>
              <w:pStyle w:val="Compact"/>
              <w:jc w:val="left"/>
            </w:pPr>
            <w:r>
              <w:rPr>
                <w:b/>
                <w:sz w:val="19"/>
              </w:rPr>
              <w:t xml:space="preserve">Priorität</w:t>
            </w:r>
          </w:p>
        </w:tc>
      </w:tr>
      <w:tr>
        <w:tc>
          <w:tcPr/>
          <w:p>
            <w:pPr>
              <w:pStyle w:val="Compact"/>
              <w:jc w:val="left"/>
            </w:pPr>
            <w:r>
              <w:rPr>
                <w:sz w:val="19"/>
              </w:rPr>
              <w:t xml:space="preserve">C6.1</w:t>
            </w:r>
          </w:p>
        </w:tc>
        <w:tc>
          <w:tcPr/>
          <w:p>
            <w:pPr>
              <w:pStyle w:val="Compact"/>
              <w:jc w:val="left"/>
            </w:pPr>
            <w:r>
              <w:rPr>
                <w:sz w:val="19"/>
              </w:rPr>
              <w:t xml:space="preserve">Lokale Partner</w:t>
            </w:r>
          </w:p>
        </w:tc>
        <w:tc>
          <w:tcPr/>
          <w:p>
            <w:pPr>
              <w:pStyle w:val="Compact"/>
              <w:jc w:val="left"/>
            </w:pPr>
            <w:r>
              <w:rPr>
                <w:sz w:val="19"/>
              </w:rPr>
              <w:t xml:space="preserve">Zusammenarbeit mit Geschäften, Höfen, Handwerk, Vereinen und sozialen Einrichtungen</w:t>
            </w:r>
          </w:p>
        </w:tc>
        <w:tc>
          <w:tcPr/>
          <w:p>
            <w:pPr>
              <w:pStyle w:val="Compact"/>
            </w:pPr>
          </w:p>
        </w:tc>
      </w:tr>
      <w:tr>
        <w:tc>
          <w:tcPr/>
          <w:p>
            <w:pPr>
              <w:pStyle w:val="Compact"/>
              <w:jc w:val="left"/>
            </w:pPr>
            <w:r>
              <w:rPr>
                <w:sz w:val="19"/>
              </w:rPr>
              <w:t xml:space="preserve">C6.2</w:t>
            </w:r>
          </w:p>
        </w:tc>
        <w:tc>
          <w:tcPr/>
          <w:p>
            <w:pPr>
              <w:pStyle w:val="Compact"/>
              <w:jc w:val="left"/>
            </w:pPr>
            <w:r>
              <w:rPr>
                <w:sz w:val="19"/>
              </w:rPr>
              <w:t xml:space="preserve">Projektkasse</w:t>
            </w:r>
          </w:p>
        </w:tc>
        <w:tc>
          <w:tcPr/>
          <w:p>
            <w:pPr>
              <w:pStyle w:val="Compact"/>
              <w:jc w:val="left"/>
            </w:pPr>
            <w:r>
              <w:rPr>
                <w:sz w:val="19"/>
              </w:rPr>
              <w:t xml:space="preserve">Rücklage für gute Ideen aus dem Quartier</w:t>
            </w:r>
          </w:p>
        </w:tc>
        <w:tc>
          <w:tcPr/>
          <w:p>
            <w:pPr>
              <w:pStyle w:val="Compact"/>
            </w:pPr>
          </w:p>
        </w:tc>
      </w:tr>
      <w:tr>
        <w:tc>
          <w:tcPr/>
          <w:p>
            <w:pPr>
              <w:pStyle w:val="Compact"/>
              <w:jc w:val="left"/>
            </w:pPr>
            <w:r>
              <w:rPr>
                <w:sz w:val="19"/>
              </w:rPr>
              <w:t xml:space="preserve">C6.3</w:t>
            </w:r>
          </w:p>
        </w:tc>
        <w:tc>
          <w:tcPr/>
          <w:p>
            <w:pPr>
              <w:pStyle w:val="Compact"/>
              <w:jc w:val="left"/>
            </w:pPr>
            <w:r>
              <w:rPr>
                <w:sz w:val="19"/>
              </w:rPr>
              <w:t xml:space="preserve">Nachbarschaftsladen</w:t>
            </w:r>
          </w:p>
        </w:tc>
        <w:tc>
          <w:tcPr/>
          <w:p>
            <w:pPr>
              <w:pStyle w:val="Compact"/>
              <w:jc w:val="left"/>
            </w:pPr>
            <w:r>
              <w:rPr>
                <w:sz w:val="19"/>
              </w:rPr>
              <w:t xml:space="preserve">Kleiner Laden als weiterer Treffpunkt</w:t>
            </w:r>
          </w:p>
        </w:tc>
        <w:tc>
          <w:tcPr/>
          <w:p>
            <w:pPr>
              <w:pStyle w:val="Compact"/>
            </w:pPr>
          </w:p>
        </w:tc>
      </w:tr>
    </w:tbl>
    <w:bookmarkEnd w:id="28"/>
    <w:bookmarkStart w:id="29" w:name="X52d917ff0901d6e6c92422db8c17942fc2e62f6"/>
    <w:p>
      <w:pPr>
        <w:pStyle w:val="Heading2"/>
      </w:pPr>
      <w:r>
        <w:t xml:space="preserve">C7 Mitgliedervorteile und Partnerangebote</w:t>
      </w:r>
    </w:p>
    <w:p>
      <w:pPr>
        <w:pStyle w:val="FirstParagraph"/>
      </w:pPr>
      <w:r>
        <w:t xml:space="preserve">Vorteile machen die Mitgliedschaft greifbar, besonders für Beschäftigte. Die Partner müssen jeweils noch angesprochen werden.</w:t>
      </w:r>
    </w:p>
    <w:tbl>
      <w:tblPr>
        <w:tblStyle w:val="Table"/>
        <w:tblW w:type="pct" w:w="5000"/>
        <w:tblLook w:firstRow="1" w:lastRow="0" w:firstColumn="0" w:lastColumn="0" w:noHBand="0" w:noVBand="0" w:val="0020"/>
        <w:jc w:val="start"/>
        <w:tblBorders>
          <w:top w:val="single" w:sz="4" w:color="A0A7B4"/>
          <w:left w:val="single" w:sz="4" w:color="A0A7B4"/>
          <w:bottom w:val="single" w:sz="4" w:color="A0A7B4"/>
          <w:right w:val="single" w:sz="4" w:color="A0A7B4"/>
          <w:insideH w:val="single" w:sz="4" w:color="A0A7B4"/>
          <w:insideV w:val="single" w:sz="4" w:color="A0A7B4"/>
        </w:tblBorders>
      </w:tblPr>
      <w:tblGrid>
        <w:gridCol w:w="720"/>
        <w:gridCol w:w="1680"/>
        <w:gridCol w:w="4800"/>
        <w:gridCol w:w="720"/>
      </w:tblGrid>
      <w:tr>
        <w:trPr>
          <w:tblHeader w:val="true"/>
        </w:trPr>
        <w:tc>
          <w:tcPr>
            <w:shd w:val="clear" w:fill="E6EAF0"/>
          </w:tcPr>
          <w:p>
            <w:pPr>
              <w:pStyle w:val="Compact"/>
              <w:jc w:val="left"/>
            </w:pPr>
            <w:r>
              <w:rPr>
                <w:b/>
                <w:sz w:val="19"/>
              </w:rPr>
              <w:t xml:space="preserve">Nr.</w:t>
            </w:r>
          </w:p>
        </w:tc>
        <w:tc>
          <w:tcPr>
            <w:shd w:val="clear" w:fill="E6EAF0"/>
          </w:tcPr>
          <w:p>
            <w:pPr>
              <w:pStyle w:val="Compact"/>
              <w:jc w:val="left"/>
            </w:pPr>
            <w:r>
              <w:rPr>
                <w:b/>
                <w:sz w:val="19"/>
              </w:rPr>
              <w:t xml:space="preserve">Bereich</w:t>
            </w:r>
          </w:p>
        </w:tc>
        <w:tc>
          <w:tcPr>
            <w:shd w:val="clear" w:fill="E6EAF0"/>
          </w:tcPr>
          <w:p>
            <w:pPr>
              <w:pStyle w:val="Compact"/>
              <w:jc w:val="left"/>
            </w:pPr>
            <w:r>
              <w:rPr>
                <w:b/>
                <w:sz w:val="19"/>
              </w:rPr>
              <w:t xml:space="preserve">Idee</w:t>
            </w:r>
          </w:p>
        </w:tc>
        <w:tc>
          <w:tcPr>
            <w:shd w:val="clear" w:fill="E6EAF0"/>
          </w:tcPr>
          <w:p>
            <w:pPr>
              <w:pStyle w:val="Compact"/>
              <w:jc w:val="left"/>
            </w:pPr>
            <w:r>
              <w:rPr>
                <w:b/>
                <w:sz w:val="19"/>
              </w:rPr>
              <w:t xml:space="preserve">Priorität</w:t>
            </w:r>
          </w:p>
        </w:tc>
      </w:tr>
      <w:tr>
        <w:tc>
          <w:tcPr/>
          <w:p>
            <w:pPr>
              <w:pStyle w:val="Compact"/>
              <w:jc w:val="left"/>
            </w:pPr>
            <w:r>
              <w:rPr>
                <w:sz w:val="19"/>
              </w:rPr>
              <w:t xml:space="preserve">C7.1</w:t>
            </w:r>
          </w:p>
        </w:tc>
        <w:tc>
          <w:tcPr/>
          <w:p>
            <w:pPr>
              <w:pStyle w:val="Compact"/>
              <w:jc w:val="left"/>
            </w:pPr>
            <w:r>
              <w:rPr>
                <w:sz w:val="19"/>
              </w:rPr>
              <w:t xml:space="preserve">Gastronomie</w:t>
            </w:r>
          </w:p>
        </w:tc>
        <w:tc>
          <w:tcPr/>
          <w:p>
            <w:pPr>
              <w:pStyle w:val="Compact"/>
              <w:jc w:val="left"/>
            </w:pPr>
            <w:r>
              <w:rPr>
                <w:sz w:val="19"/>
              </w:rPr>
              <w:t xml:space="preserve">10 % Rabatt für Mitglieder, u. a. bei Kalle</w:t>
            </w:r>
          </w:p>
        </w:tc>
        <w:tc>
          <w:tcPr/>
          <w:p>
            <w:pPr>
              <w:pStyle w:val="Compact"/>
            </w:pPr>
          </w:p>
        </w:tc>
      </w:tr>
      <w:tr>
        <w:tc>
          <w:tcPr/>
          <w:p>
            <w:pPr>
              <w:pStyle w:val="Compact"/>
              <w:jc w:val="left"/>
            </w:pPr>
            <w:r>
              <w:rPr>
                <w:sz w:val="19"/>
              </w:rPr>
              <w:t xml:space="preserve">C7.2</w:t>
            </w:r>
          </w:p>
        </w:tc>
        <w:tc>
          <w:tcPr/>
          <w:p>
            <w:pPr>
              <w:pStyle w:val="Compact"/>
              <w:jc w:val="left"/>
            </w:pPr>
            <w:r>
              <w:rPr>
                <w:sz w:val="19"/>
              </w:rPr>
              <w:t xml:space="preserve">Weihnachtsmarkt</w:t>
            </w:r>
          </w:p>
        </w:tc>
        <w:tc>
          <w:tcPr/>
          <w:p>
            <w:pPr>
              <w:pStyle w:val="Compact"/>
              <w:jc w:val="left"/>
            </w:pPr>
            <w:r>
              <w:rPr>
                <w:sz w:val="19"/>
              </w:rPr>
              <w:t xml:space="preserve">Ermäßigung am Weihnachtsmarkt vor der Eislaufbahn, z. B. Glühwein-Gutschein</w:t>
            </w:r>
          </w:p>
        </w:tc>
        <w:tc>
          <w:tcPr/>
          <w:p>
            <w:pPr>
              <w:pStyle w:val="Compact"/>
            </w:pPr>
          </w:p>
        </w:tc>
      </w:tr>
      <w:tr>
        <w:tc>
          <w:tcPr/>
          <w:p>
            <w:pPr>
              <w:pStyle w:val="Compact"/>
              <w:jc w:val="left"/>
            </w:pPr>
            <w:r>
              <w:rPr>
                <w:sz w:val="19"/>
              </w:rPr>
              <w:t xml:space="preserve">C7.3</w:t>
            </w:r>
          </w:p>
        </w:tc>
        <w:tc>
          <w:tcPr/>
          <w:p>
            <w:pPr>
              <w:pStyle w:val="Compact"/>
              <w:jc w:val="left"/>
            </w:pPr>
            <w:r>
              <w:rPr>
                <w:sz w:val="19"/>
              </w:rPr>
              <w:t xml:space="preserve">Sport</w:t>
            </w:r>
          </w:p>
        </w:tc>
        <w:tc>
          <w:tcPr/>
          <w:p>
            <w:pPr>
              <w:pStyle w:val="Compact"/>
              <w:jc w:val="left"/>
            </w:pPr>
            <w:r>
              <w:rPr>
                <w:sz w:val="19"/>
              </w:rPr>
              <w:t xml:space="preserve">Kostenlose Nutzung der Schwimmbäder außerhalb der Hauptzeiten; Rabatte für Eislaufbahn, Gym und Vertical Climbing</w:t>
            </w:r>
          </w:p>
        </w:tc>
        <w:tc>
          <w:tcPr/>
          <w:p>
            <w:pPr>
              <w:pStyle w:val="Compact"/>
            </w:pPr>
          </w:p>
        </w:tc>
      </w:tr>
      <w:tr>
        <w:tc>
          <w:tcPr/>
          <w:p>
            <w:pPr>
              <w:pStyle w:val="Compact"/>
              <w:jc w:val="left"/>
            </w:pPr>
            <w:r>
              <w:rPr>
                <w:sz w:val="19"/>
              </w:rPr>
              <w:t xml:space="preserve">C7.4</w:t>
            </w:r>
          </w:p>
        </w:tc>
        <w:tc>
          <w:tcPr/>
          <w:p>
            <w:pPr>
              <w:pStyle w:val="Compact"/>
              <w:jc w:val="left"/>
            </w:pPr>
            <w:r>
              <w:rPr>
                <w:sz w:val="19"/>
              </w:rPr>
              <w:t xml:space="preserve">Gäste</w:t>
            </w:r>
          </w:p>
        </w:tc>
        <w:tc>
          <w:tcPr/>
          <w:p>
            <w:pPr>
              <w:pStyle w:val="Compact"/>
              <w:jc w:val="left"/>
            </w:pPr>
            <w:r>
              <w:rPr>
                <w:sz w:val="19"/>
              </w:rPr>
              <w:t xml:space="preserve">Ermäßigte Übernachtung im Hotel, ergänzend zu den Gästezimmern</w:t>
            </w:r>
          </w:p>
        </w:tc>
        <w:tc>
          <w:tcPr/>
          <w:p>
            <w:pPr>
              <w:pStyle w:val="Compact"/>
            </w:pPr>
          </w:p>
        </w:tc>
      </w:tr>
      <w:tr>
        <w:tc>
          <w:tcPr/>
          <w:p>
            <w:pPr>
              <w:pStyle w:val="Compact"/>
              <w:jc w:val="left"/>
            </w:pPr>
            <w:r>
              <w:rPr>
                <w:sz w:val="19"/>
              </w:rPr>
              <w:t xml:space="preserve">C7.5</w:t>
            </w:r>
          </w:p>
        </w:tc>
        <w:tc>
          <w:tcPr/>
          <w:p>
            <w:pPr>
              <w:pStyle w:val="Compact"/>
              <w:jc w:val="left"/>
            </w:pPr>
            <w:r>
              <w:rPr>
                <w:sz w:val="19"/>
              </w:rPr>
              <w:t xml:space="preserve">Einkauf</w:t>
            </w:r>
          </w:p>
        </w:tc>
        <w:tc>
          <w:tcPr/>
          <w:p>
            <w:pPr>
              <w:pStyle w:val="Compact"/>
              <w:jc w:val="left"/>
            </w:pPr>
            <w:r>
              <w:rPr>
                <w:sz w:val="19"/>
              </w:rPr>
              <w:t xml:space="preserve">Gutscheine beim Supermarkt im Quartier (z. B. Tante Enso, noch offen)</w:t>
            </w:r>
          </w:p>
        </w:tc>
        <w:tc>
          <w:tcPr/>
          <w:p>
            <w:pPr>
              <w:pStyle w:val="Compact"/>
            </w:pPr>
          </w:p>
        </w:tc>
      </w:tr>
    </w:tbl>
    <w:bookmarkEnd w:id="29"/>
    <w:bookmarkEnd w:id="30"/>
    <w:bookmarkStart w:id="31" w:name="Xcf96e91318fae94cccfb922eeb15f445e0fa6c6"/>
    <w:p>
      <w:pPr>
        <w:pStyle w:val="Heading1"/>
      </w:pPr>
      <w:r>
        <w:t xml:space="preserve">Mitgliedschaft, Beiträge, Beteiligung, Kommunikation</w:t>
      </w:r>
    </w:p>
    <w:p>
      <w:pPr>
        <w:pStyle w:val="FirstParagraph"/>
      </w:pPr>
      <w:r>
        <w:t xml:space="preserve">Das Projekt stellt ein Gerüst bereit; Beiträge, Gremien und Abläufe legt die QG selbst fest.</w:t>
      </w:r>
    </w:p>
    <w:p>
      <w:pPr>
        <w:pStyle w:val="BodyText"/>
      </w:pPr>
      <w:r>
        <w:rPr>
          <w:bCs/>
          <w:b/>
        </w:rPr>
        <w:t xml:space="preserve">Mitgliedschaft</w:t>
      </w:r>
    </w:p>
    <w:p>
      <w:pPr>
        <w:numPr>
          <w:ilvl w:val="0"/>
          <w:numId w:val="1002"/>
        </w:numPr>
        <w:pStyle w:val="Compact"/>
      </w:pPr>
      <w:r>
        <w:t xml:space="preserve">Offen für Bewohner und Beschäftigte im Quartier. Beide Gruppen sollen fair vertreten sein (rechtlich zu prüfen).</w:t>
      </w:r>
    </w:p>
    <w:p>
      <w:pPr>
        <w:numPr>
          <w:ilvl w:val="0"/>
          <w:numId w:val="1002"/>
        </w:numPr>
        <w:pStyle w:val="Compact"/>
      </w:pPr>
      <w:r>
        <w:t xml:space="preserve">Vorteile für Beschäftigte: Gastro und Veranstaltungen, Zugang zu Gemeinschaftsräumen, digitale Beteiligung.</w:t>
      </w:r>
    </w:p>
    <w:p>
      <w:pPr>
        <w:numPr>
          <w:ilvl w:val="0"/>
          <w:numId w:val="1002"/>
        </w:numPr>
        <w:pStyle w:val="Compact"/>
      </w:pPr>
      <w:r>
        <w:t xml:space="preserve">Mitgliedsnachweis: Karte mit Namen und Foto oder App (offen). Er dient auch als Nachweis für Rabatte.</w:t>
      </w:r>
    </w:p>
    <w:p>
      <w:pPr>
        <w:pStyle w:val="FirstParagraph"/>
      </w:pPr>
      <w:r>
        <w:rPr>
          <w:bCs/>
          <w:b/>
        </w:rPr>
        <w:t xml:space="preserve">Beiträge (Arbeitsvorschlag, Entscheidung der QG)</w:t>
      </w:r>
    </w:p>
    <w:tbl>
      <w:tblPr>
        <w:tblStyle w:val="Table"/>
        <w:tblW w:type="auto" w:w="0"/>
        <w:tblLook w:firstRow="1" w:lastRow="0" w:firstColumn="0" w:lastColumn="0" w:noHBand="0" w:noVBand="0" w:val="0020"/>
        <w:jc w:val="start"/>
        <w:tblBorders>
          <w:top w:val="single" w:sz="4" w:color="A0A7B4"/>
          <w:left w:val="single" w:sz="4" w:color="A0A7B4"/>
          <w:bottom w:val="single" w:sz="4" w:color="A0A7B4"/>
          <w:right w:val="single" w:sz="4" w:color="A0A7B4"/>
          <w:insideH w:val="single" w:sz="4" w:color="A0A7B4"/>
          <w:insideV w:val="single" w:sz="4" w:color="A0A7B4"/>
        </w:tblBorders>
      </w:tblPr>
      <w:tblGrid>
        <w:gridCol w:w="3960"/>
        <w:gridCol w:w="3960"/>
      </w:tblGrid>
      <w:tr>
        <w:trPr>
          <w:tblHeader w:val="true"/>
        </w:trPr>
        <w:tc>
          <w:tcPr>
            <w:shd w:val="clear" w:fill="E6EAF0"/>
          </w:tcPr>
          <w:p>
            <w:pPr>
              <w:pStyle w:val="Compact"/>
              <w:jc w:val="left"/>
            </w:pPr>
            <w:r>
              <w:rPr>
                <w:b/>
                <w:sz w:val="19"/>
              </w:rPr>
              <w:t xml:space="preserve">Gruppe</w:t>
            </w:r>
          </w:p>
        </w:tc>
        <w:tc>
          <w:tcPr>
            <w:shd w:val="clear" w:fill="E6EAF0"/>
          </w:tcPr>
          <w:p>
            <w:pPr>
              <w:pStyle w:val="Compact"/>
              <w:jc w:val="left"/>
            </w:pPr>
            <w:r>
              <w:rPr>
                <w:b/>
                <w:sz w:val="19"/>
              </w:rPr>
              <w:t xml:space="preserve">Beitrag</w:t>
            </w:r>
          </w:p>
        </w:tc>
      </w:tr>
      <w:tr>
        <w:tc>
          <w:tcPr/>
          <w:p>
            <w:pPr>
              <w:pStyle w:val="Compact"/>
              <w:jc w:val="left"/>
            </w:pPr>
            <w:r>
              <w:rPr>
                <w:sz w:val="19"/>
              </w:rPr>
              <w:t xml:space="preserve">bis 18 Jahre</w:t>
            </w:r>
          </w:p>
        </w:tc>
        <w:tc>
          <w:tcPr/>
          <w:p>
            <w:pPr>
              <w:pStyle w:val="Compact"/>
              <w:jc w:val="left"/>
            </w:pPr>
            <w:r>
              <w:rPr>
                <w:sz w:val="19"/>
              </w:rPr>
              <w:t xml:space="preserve">beitragsfrei</w:t>
            </w:r>
          </w:p>
        </w:tc>
      </w:tr>
      <w:tr>
        <w:tc>
          <w:tcPr/>
          <w:p>
            <w:pPr>
              <w:pStyle w:val="Compact"/>
              <w:jc w:val="left"/>
            </w:pPr>
            <w:r>
              <w:rPr>
                <w:sz w:val="19"/>
              </w:rPr>
              <w:t xml:space="preserve">ab 18 Jahre</w:t>
            </w:r>
          </w:p>
        </w:tc>
        <w:tc>
          <w:tcPr/>
          <w:p>
            <w:pPr>
              <w:pStyle w:val="Compact"/>
              <w:jc w:val="left"/>
            </w:pPr>
            <w:r>
              <w:rPr>
                <w:sz w:val="19"/>
              </w:rPr>
              <w:t xml:space="preserve">30 Euro/Monat</w:t>
            </w:r>
          </w:p>
        </w:tc>
      </w:tr>
      <w:tr>
        <w:tc>
          <w:tcPr/>
          <w:p>
            <w:pPr>
              <w:pStyle w:val="Compact"/>
              <w:jc w:val="left"/>
            </w:pPr>
            <w:r>
              <w:rPr>
                <w:sz w:val="19"/>
              </w:rPr>
              <w:t xml:space="preserve">Berufseinsteiger (z. B. bis 27 Jahre)</w:t>
            </w:r>
          </w:p>
        </w:tc>
        <w:tc>
          <w:tcPr/>
          <w:p>
            <w:pPr>
              <w:pStyle w:val="Compact"/>
              <w:jc w:val="left"/>
            </w:pPr>
            <w:r>
              <w:rPr>
                <w:sz w:val="19"/>
              </w:rPr>
              <w:t xml:space="preserve">Einstiegstarif, Höhe offen</w:t>
            </w:r>
          </w:p>
        </w:tc>
      </w:tr>
      <w:tr>
        <w:tc>
          <w:tcPr/>
          <w:p>
            <w:pPr>
              <w:pStyle w:val="Compact"/>
              <w:jc w:val="left"/>
            </w:pPr>
            <w:r>
              <w:rPr>
                <w:sz w:val="19"/>
              </w:rPr>
              <w:t xml:space="preserve">Härtefälle</w:t>
            </w:r>
          </w:p>
        </w:tc>
        <w:tc>
          <w:tcPr/>
          <w:p>
            <w:pPr>
              <w:pStyle w:val="Compact"/>
              <w:jc w:val="left"/>
            </w:pPr>
            <w:r>
              <w:rPr>
                <w:sz w:val="19"/>
              </w:rPr>
              <w:t xml:space="preserve">Teilerlass auf Antrag</w:t>
            </w:r>
          </w:p>
        </w:tc>
      </w:tr>
    </w:tbl>
    <w:p>
      <w:pPr>
        <w:pStyle w:val="BodyText"/>
      </w:pPr>
      <w:r>
        <w:t xml:space="preserve">Zum Vergleich: Die GeQo eG in München erhebt nur einen Geschäftsanteil von 200 Euro plus 50 Euro Eintrittsgeld, aber keinen Monatsbeitrag.</w:t>
      </w:r>
    </w:p>
    <w:p>
      <w:pPr>
        <w:pStyle w:val="BodyText"/>
      </w:pPr>
      <w:r>
        <w:rPr>
          <w:bCs/>
          <w:b/>
        </w:rPr>
        <w:t xml:space="preserve">Beteiligung</w:t>
      </w:r>
    </w:p>
    <w:p>
      <w:pPr>
        <w:numPr>
          <w:ilvl w:val="0"/>
          <w:numId w:val="1003"/>
        </w:numPr>
        <w:pStyle w:val="Compact"/>
      </w:pPr>
      <w:r>
        <w:t xml:space="preserve">Generalversammlung für Grundsatzfragen, auch hybrid.</w:t>
      </w:r>
    </w:p>
    <w:p>
      <w:pPr>
        <w:numPr>
          <w:ilvl w:val="0"/>
          <w:numId w:val="1003"/>
        </w:numPr>
        <w:pStyle w:val="Compact"/>
      </w:pPr>
      <w:r>
        <w:t xml:space="preserve">Digitale Kurzabstimmungen für Alltagsfragen.</w:t>
      </w:r>
    </w:p>
    <w:p>
      <w:pPr>
        <w:numPr>
          <w:ilvl w:val="0"/>
          <w:numId w:val="1003"/>
        </w:numPr>
        <w:pStyle w:val="Compact"/>
      </w:pPr>
      <w:r>
        <w:t xml:space="preserve">Themenbeiräte bzw. Arbeitsgruppen (Mobilität, Grün, Kultur, Nachbarschaft), die an die Gesamtheit berichten.</w:t>
      </w:r>
    </w:p>
    <w:p>
      <w:pPr>
        <w:numPr>
          <w:ilvl w:val="0"/>
          <w:numId w:val="1003"/>
        </w:numPr>
        <w:pStyle w:val="Compact"/>
      </w:pPr>
      <w:r>
        <w:t xml:space="preserve">Beschlüsse transparent und leicht verständlich dokumentieren.</w:t>
      </w:r>
    </w:p>
    <w:p>
      <w:pPr>
        <w:numPr>
          <w:ilvl w:val="0"/>
          <w:numId w:val="1003"/>
        </w:numPr>
        <w:pStyle w:val="Compact"/>
      </w:pPr>
      <w:r>
        <w:t xml:space="preserve">Klar trennen, was freiwillig ist und was verbindlich übernommen wird.</w:t>
      </w:r>
    </w:p>
    <w:p>
      <w:pPr>
        <w:numPr>
          <w:ilvl w:val="0"/>
          <w:numId w:val="1003"/>
        </w:numPr>
        <w:pStyle w:val="Compact"/>
      </w:pPr>
      <w:r>
        <w:t xml:space="preserve">Regelmäßige Auswertung: Was wird genutzt, was läuft gut, was kostet zu viel?</w:t>
      </w:r>
    </w:p>
    <w:p>
      <w:pPr>
        <w:numPr>
          <w:ilvl w:val="0"/>
          <w:numId w:val="1003"/>
        </w:numPr>
        <w:pStyle w:val="Compact"/>
      </w:pPr>
      <w:r>
        <w:t xml:space="preserve">Kein „Chef“: Die Verantwortung liegt bei den Mitgliedern und ihren Organen.</w:t>
      </w:r>
    </w:p>
    <w:p>
      <w:pPr>
        <w:pStyle w:val="FirstParagraph"/>
      </w:pPr>
      <w:r>
        <w:rPr>
          <w:bCs/>
          <w:b/>
        </w:rPr>
        <w:t xml:space="preserve">Kommunikation</w:t>
      </w:r>
    </w:p>
    <w:p>
      <w:pPr>
        <w:numPr>
          <w:ilvl w:val="0"/>
          <w:numId w:val="1004"/>
        </w:numPr>
        <w:pStyle w:val="Compact"/>
      </w:pPr>
      <w:r>
        <w:t xml:space="preserve">Frühe Marke und Story, die Lust aufs Mitmachen macht, z. B. „Überseeinsel. Das Quartier, in dem alle mitreden und mitgestalten können.“</w:t>
      </w:r>
    </w:p>
    <w:p>
      <w:pPr>
        <w:numPr>
          <w:ilvl w:val="0"/>
          <w:numId w:val="1004"/>
        </w:numPr>
        <w:pStyle w:val="Compact"/>
      </w:pPr>
      <w:r>
        <w:t xml:space="preserve">Linda Neddermann unterstützt beim Kommunikationskonzept (Angebot angenommen).</w:t>
      </w:r>
    </w:p>
    <w:p>
      <w:pPr>
        <w:numPr>
          <w:ilvl w:val="0"/>
          <w:numId w:val="1004"/>
        </w:numPr>
        <w:pStyle w:val="Compact"/>
      </w:pPr>
      <w:r>
        <w:t xml:space="preserve">Zwei bis drei Meinungsführer aus dem Umfeld früh einbinden.</w:t>
      </w:r>
    </w:p>
    <w:p>
      <w:pPr>
        <w:numPr>
          <w:ilvl w:val="0"/>
          <w:numId w:val="1004"/>
        </w:numPr>
        <w:pStyle w:val="Compact"/>
      </w:pPr>
      <w:r>
        <w:t xml:space="preserve">Namensnutzung „Kolleggs“ mit der Künstlerinnenkolonie klären; Markenrecht prüfen (Anlehnung an Kellogg’s).</w:t>
      </w:r>
    </w:p>
    <w:bookmarkEnd w:id="31"/>
    <w:bookmarkStart w:id="32" w:name="Xe20df13f0ddfae2dc035ce38f7fb8f96d32df36"/>
    <w:p>
      <w:pPr>
        <w:pStyle w:val="Heading1"/>
      </w:pPr>
      <w:r>
        <w:t xml:space="preserve">Offene Punkte für das Gespräch im Januar 2027</w:t>
      </w:r>
    </w:p>
    <w:p>
      <w:pPr>
        <w:numPr>
          <w:ilvl w:val="0"/>
          <w:numId w:val="1005"/>
        </w:numPr>
        <w:pStyle w:val="Compact"/>
      </w:pPr>
      <w:r>
        <w:t xml:space="preserve">☐ Pflichtteil (Teil A) final abgrenzen: Was steht in der Satzung, was im QG-Vertrag?</w:t>
      </w:r>
    </w:p>
    <w:p>
      <w:pPr>
        <w:numPr>
          <w:ilvl w:val="0"/>
          <w:numId w:val="1005"/>
        </w:numPr>
        <w:pStyle w:val="Compact"/>
      </w:pPr>
      <w:r>
        <w:t xml:space="preserve">☐ Betriebsmodell Genossenschaftscafé mit Paket- und Poststation: Eigenbetrieb oder Pacht, Personal, Partner (Post/Paketdienst), Wirtschaftlichkeit</w:t>
      </w:r>
    </w:p>
    <w:p>
      <w:pPr>
        <w:numPr>
          <w:ilvl w:val="0"/>
          <w:numId w:val="1005"/>
        </w:numPr>
        <w:pStyle w:val="Compact"/>
      </w:pPr>
      <w:r>
        <w:t xml:space="preserve">☐ Beitragsmodell und Geschäftsanteil festlegen; Leistungspaket für 30 Euro/Monat konkret beschreiben</w:t>
      </w:r>
    </w:p>
    <w:p>
      <w:pPr>
        <w:numPr>
          <w:ilvl w:val="0"/>
          <w:numId w:val="1005"/>
        </w:numPr>
        <w:pStyle w:val="Compact"/>
      </w:pPr>
      <w:r>
        <w:t xml:space="preserve">☐ Stimmrechte und Vertretung von Bewohnern und Beschäftigten juristisch prüfen</w:t>
      </w:r>
    </w:p>
    <w:p>
      <w:pPr>
        <w:numPr>
          <w:ilvl w:val="0"/>
          <w:numId w:val="1005"/>
        </w:numPr>
        <w:pStyle w:val="Compact"/>
      </w:pPr>
      <w:r>
        <w:t xml:space="preserve">☐ Ausgestaltung der Mitsprache bei der Gewerbevermietung</w:t>
      </w:r>
    </w:p>
    <w:p>
      <w:pPr>
        <w:numPr>
          <w:ilvl w:val="0"/>
          <w:numId w:val="1005"/>
        </w:numPr>
        <w:pStyle w:val="Compact"/>
      </w:pPr>
      <w:r>
        <w:t xml:space="preserve">☐ Finanzierung: Förderprogramme in Bremen prüfen (vergleichbar dem Zuschuss der Stadt München für die GeQo)</w:t>
      </w:r>
    </w:p>
    <w:p>
      <w:pPr>
        <w:numPr>
          <w:ilvl w:val="0"/>
          <w:numId w:val="1005"/>
        </w:numPr>
        <w:pStyle w:val="Compact"/>
      </w:pPr>
      <w:r>
        <w:t xml:space="preserve">☐ Prüfungsverband für die Gründung auswählen und ansprechen</w:t>
      </w:r>
    </w:p>
    <w:p>
      <w:pPr>
        <w:numPr>
          <w:ilvl w:val="0"/>
          <w:numId w:val="1005"/>
        </w:numPr>
        <w:pStyle w:val="Compact"/>
      </w:pPr>
      <w:r>
        <w:t xml:space="preserve">☐ Priorisierung Teil C: erste drei bis fünf Engagements für den Start</w:t>
      </w:r>
    </w:p>
    <w:p>
      <w:pPr>
        <w:numPr>
          <w:ilvl w:val="0"/>
          <w:numId w:val="1005"/>
        </w:numPr>
        <w:pStyle w:val="Compact"/>
      </w:pPr>
      <w:r>
        <w:t xml:space="preserve">☐ Kommunikationskonzept und Markenname mit Linda abstimmen</w:t>
      </w:r>
    </w:p>
    <w:p>
      <w:pPr>
        <w:numPr>
          <w:ilvl w:val="0"/>
          <w:numId w:val="1005"/>
        </w:numPr>
        <w:pStyle w:val="Compact"/>
      </w:pPr>
      <w:r>
        <w:t xml:space="preserve">☐ Partner für Mitgliedervorteile ansprechen (Teil C7)</w:t>
      </w:r>
    </w:p>
    <w:p>
      <w:pPr>
        <w:numPr>
          <w:ilvl w:val="0"/>
          <w:numId w:val="1005"/>
        </w:numPr>
        <w:pStyle w:val="Compact"/>
      </w:pPr>
      <w:r>
        <w:t xml:space="preserve">☐ Runde um Nils erweitern</w:t>
      </w:r>
    </w:p>
    <w:p>
      <w:pPr>
        <w:numPr>
          <w:ilvl w:val="0"/>
          <w:numId w:val="1005"/>
        </w:numPr>
        <w:pStyle w:val="Compact"/>
      </w:pPr>
      <w:r>
        <w:t xml:space="preserve">☐ Postfiliale im Café integrieren: Partnerfiliale möglich?</w:t>
      </w:r>
    </w:p>
    <w:p>
      <w:pPr>
        <w:numPr>
          <w:ilvl w:val="0"/>
          <w:numId w:val="1005"/>
        </w:numPr>
        <w:pStyle w:val="Compact"/>
      </w:pPr>
      <w:r>
        <w:t xml:space="preserve">☐ Bankautomat im oder nahe dem Quartier (keine Aufgabe der QG, aber mit Eigentümern und Banken klären)</w:t>
      </w:r>
    </w:p>
    <w:p>
      <w:pPr>
        <w:numPr>
          <w:ilvl w:val="0"/>
          <w:numId w:val="1005"/>
        </w:numPr>
        <w:pStyle w:val="Compact"/>
      </w:pPr>
      <w:r>
        <w:t xml:space="preserve">☐ Fahrradverleih für Gäste zusätzlich zum Lastenrad-Sharing?</w:t>
      </w:r>
    </w:p>
    <w:p>
      <w:pPr>
        <w:numPr>
          <w:ilvl w:val="0"/>
          <w:numId w:val="1005"/>
        </w:numPr>
        <w:pStyle w:val="Compact"/>
      </w:pPr>
      <w:r>
        <w:t xml:space="preserve">☐ Supermarkt im Quartier: Stand der Ansiedlung</w:t>
      </w:r>
    </w:p>
    <w:p>
      <w:pPr>
        <w:numPr>
          <w:ilvl w:val="0"/>
          <w:numId w:val="1005"/>
        </w:numPr>
        <w:pStyle w:val="Compact"/>
      </w:pPr>
      <w:r>
        <w:t xml:space="preserve">☐ Mitgliedsnachweis: Karte oder App</w:t>
      </w:r>
    </w:p>
    <w:p>
      <w:pPr>
        <w:numPr>
          <w:ilvl w:val="0"/>
          <w:numId w:val="1005"/>
        </w:numPr>
        <w:pStyle w:val="Compact"/>
      </w:pPr>
      <w:r>
        <w:t xml:space="preserve">☐ Bunker bei der Alten Werft: Eigentümer, Nutzbarkeit, Genehmigung</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DE"/>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Arial" w:cs="Arial" w:eastAsia="Arial" w:hAnsi="Arial"/>
      <w:sz w:val="22"/>
    </w:rPr>
  </w:style>
  <w:style w:styleId="BodyText" w:type="paragraph">
    <w:name w:val="Body Text"/>
    <w:basedOn w:val="Normal"/>
    <w:link w:val="BodyTextChar"/>
    <w:pPr>
      <w:spacing w:after="180" w:before="180"/>
    </w:pPr>
    <w:qFormat/>
    <w:rPr>
      <w:rFonts w:ascii="Arial" w:cs="Arial" w:eastAsia="Arial" w:hAnsi="Arial"/>
      <w:sz w:val="22"/>
    </w:rPr>
  </w:style>
  <w:style w:customStyle="1" w:styleId="FirstParagraph" w:type="paragraph">
    <w:name w:val="First Paragraph"/>
    <w:basedOn w:val="BodyText"/>
    <w:next w:val="BodyText"/>
    <w:qFormat/>
    <w:rPr>
      <w:rFonts w:ascii="Arial" w:cs="Arial" w:eastAsia="Arial" w:hAnsi="Arial"/>
      <w:sz w:val="22"/>
    </w:rPr>
  </w:style>
  <w:style w:customStyle="1" w:styleId="Compact" w:type="paragraph">
    <w:name w:val="Compact"/>
    <w:basedOn w:val="BodyText"/>
    <w:qFormat/>
    <w:pPr>
      <w:spacing w:after="36" w:before="36"/>
    </w:pPr>
    <w:rPr>
      <w:rFonts w:ascii="Arial" w:cs="Arial" w:eastAsia="Arial" w:hAnsi="Arial"/>
      <w:sz w:val="22"/>
    </w:rPr>
  </w:style>
  <w:style w:styleId="Title" w:type="paragraph">
    <w:name w:val="Title"/>
    <w:basedOn w:val="Normal"/>
    <w:next w:val="BodyText"/>
    <w:qFormat/>
    <w:pPr>
      <w:keepNext/>
      <w:keepLines/>
      <w:spacing w:after="240" w:before="480"/>
      <w:jc w:val="center"/>
    </w:pPr>
    <w:rPr>
      <w:rFonts w:ascii="Arial" w:cs="Arial" w:cstheme="majorBidi" w:eastAsia="Arial" w:hAnsi="Arial"/>
      <w:b/>
      <w:bCs/>
      <w:color w:val="1F2A44"/>
      <w:sz w:val="40"/>
      <w:szCs w:val="36"/>
    </w:rPr>
  </w:style>
  <w:style w:styleId="Subtitle" w:type="paragraph">
    <w:name w:val="Subtitle"/>
    <w:basedOn w:val="Title"/>
    <w:next w:val="BodyText"/>
    <w:qFormat/>
    <w:pPr>
      <w:keepNext/>
      <w:keepLines/>
      <w:spacing w:after="240" w:before="240"/>
      <w:jc w:val="center"/>
    </w:pPr>
    <w:rPr>
      <w:rFonts w:ascii="Arial" w:cs="Arial" w:eastAsia="Arial" w:hAnsi="Arial"/>
      <w:color w:val="1F2A44"/>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Arial" w:cs="Arial" w:cstheme="majorBidi" w:eastAsia="Arial" w:hAnsi="Arial"/>
      <w:b/>
      <w:bCs/>
      <w:color w:val="1F2A44"/>
      <w:sz w:val="28"/>
      <w:szCs w:val="32"/>
    </w:rPr>
  </w:style>
  <w:style w:styleId="Heading2" w:type="paragraph">
    <w:name w:val="Heading 2"/>
    <w:basedOn w:val="Normal"/>
    <w:next w:val="BodyText"/>
    <w:uiPriority w:val="9"/>
    <w:unhideWhenUsed/>
    <w:qFormat/>
    <w:pPr>
      <w:keepNext/>
      <w:keepLines/>
      <w:spacing w:after="0" w:before="200"/>
      <w:outlineLvl w:val="1"/>
    </w:pPr>
    <w:rPr>
      <w:rFonts w:ascii="Arial" w:cs="Arial" w:cstheme="majorBidi" w:eastAsia="Arial" w:hAnsi="Arial"/>
      <w:b/>
      <w:bCs/>
      <w:color w:val="1F2A44"/>
      <w:sz w:val="24"/>
      <w:szCs w:val="28"/>
    </w:rPr>
  </w:style>
  <w:style w:styleId="Heading3" w:type="paragraph">
    <w:name w:val="Heading 3"/>
    <w:basedOn w:val="Normal"/>
    <w:next w:val="BodyText"/>
    <w:uiPriority w:val="9"/>
    <w:unhideWhenUsed/>
    <w:qFormat/>
    <w:pPr>
      <w:keepNext/>
      <w:keepLines/>
      <w:spacing w:after="0" w:before="200"/>
      <w:outlineLvl w:val="2"/>
    </w:pPr>
    <w:rPr>
      <w:rFonts w:ascii="Arial" w:cs="Arial" w:cstheme="majorBidi" w:eastAsia="Arial" w:hAnsi="Arial"/>
      <w:b/>
      <w:bCs/>
      <w:color w:val="1F2A44"/>
      <w:sz w:val="22"/>
      <w:szCs w:val="24"/>
    </w:rPr>
  </w:style>
  <w:style w:styleId="Heading4" w:type="paragraph">
    <w:name w:val="Heading 4"/>
    <w:basedOn w:val="Normal"/>
    <w:next w:val="BodyText"/>
    <w:uiPriority w:val="9"/>
    <w:unhideWhenUsed/>
    <w:qFormat/>
    <w:pPr>
      <w:keepNext/>
      <w:keepLines/>
      <w:spacing w:after="0" w:before="200"/>
      <w:outlineLvl w:val="3"/>
    </w:pPr>
    <w:rPr>
      <w:rFonts w:ascii="Arial" w:cs="Arial" w:cstheme="majorBidi" w:eastAsia="Arial" w:hAnsi="Arial"/>
      <w:i/>
      <w:bCs/>
      <w:color w:val="1F2A44"/>
      <w:sz w:val="24"/>
      <w:szCs w:val="24"/>
    </w:rPr>
  </w:style>
  <w:style w:styleId="Heading5" w:type="paragraph">
    <w:name w:val="Heading 5"/>
    <w:basedOn w:val="Normal"/>
    <w:next w:val="BodyText"/>
    <w:uiPriority w:val="9"/>
    <w:unhideWhenUsed/>
    <w:qFormat/>
    <w:pPr>
      <w:keepNext/>
      <w:keepLines/>
      <w:spacing w:after="0" w:before="200"/>
      <w:outlineLvl w:val="4"/>
    </w:pPr>
    <w:rPr>
      <w:rFonts w:ascii="Arial" w:cs="Arial" w:cstheme="majorBidi" w:eastAsia="Arial" w:hAnsi="Arial"/>
      <w:iCs/>
      <w:color w:val="1F2A44"/>
      <w:sz w:val="24"/>
      <w:szCs w:val="24"/>
    </w:rPr>
  </w:style>
  <w:style w:styleId="Heading6" w:type="paragraph">
    <w:name w:val="Heading 6"/>
    <w:basedOn w:val="Normal"/>
    <w:next w:val="BodyText"/>
    <w:uiPriority w:val="9"/>
    <w:unhideWhenUsed/>
    <w:qFormat/>
    <w:pPr>
      <w:keepNext/>
      <w:keepLines/>
      <w:spacing w:after="0" w:before="200"/>
      <w:outlineLvl w:val="5"/>
    </w:pPr>
    <w:rPr>
      <w:rFonts w:ascii="Arial" w:cs="Arial" w:cstheme="majorBidi" w:eastAsia="Arial" w:hAnsi="Arial"/>
      <w:color w:val="1F2A44"/>
      <w:sz w:val="24"/>
      <w:szCs w:val="24"/>
    </w:rPr>
  </w:style>
  <w:style w:styleId="Heading7" w:type="paragraph">
    <w:name w:val="Heading 7"/>
    <w:basedOn w:val="Normal"/>
    <w:next w:val="BodyText"/>
    <w:uiPriority w:val="9"/>
    <w:unhideWhenUsed/>
    <w:qFormat/>
    <w:pPr>
      <w:keepNext/>
      <w:keepLines/>
      <w:spacing w:after="0" w:before="200"/>
      <w:outlineLvl w:val="6"/>
    </w:pPr>
    <w:rPr>
      <w:rFonts w:ascii="Arial" w:cs="Arial" w:cstheme="majorBidi" w:eastAsia="Arial" w:hAnsi="Arial"/>
      <w:color w:val="1F2A44"/>
      <w:sz w:val="24"/>
      <w:szCs w:val="24"/>
    </w:rPr>
  </w:style>
  <w:style w:styleId="Heading8" w:type="paragraph">
    <w:name w:val="Heading 8"/>
    <w:basedOn w:val="Normal"/>
    <w:next w:val="BodyText"/>
    <w:uiPriority w:val="9"/>
    <w:unhideWhenUsed/>
    <w:qFormat/>
    <w:pPr>
      <w:keepNext/>
      <w:keepLines/>
      <w:spacing w:after="0" w:before="200"/>
      <w:outlineLvl w:val="7"/>
    </w:pPr>
    <w:rPr>
      <w:rFonts w:ascii="Arial" w:cs="Arial" w:cstheme="majorBidi" w:eastAsia="Arial" w:hAnsi="Arial"/>
      <w:color w:val="1F2A44"/>
      <w:sz w:val="24"/>
      <w:szCs w:val="24"/>
    </w:rPr>
  </w:style>
  <w:style w:styleId="Heading9" w:type="paragraph">
    <w:name w:val="Heading 9"/>
    <w:basedOn w:val="Normal"/>
    <w:next w:val="BodyText"/>
    <w:uiPriority w:val="9"/>
    <w:unhideWhenUsed/>
    <w:qFormat/>
    <w:pPr>
      <w:keepNext/>
      <w:keepLines/>
      <w:spacing w:after="0" w:before="200"/>
      <w:outlineLvl w:val="8"/>
    </w:pPr>
    <w:rPr>
      <w:rFonts w:ascii="Arial" w:cs="Arial" w:cstheme="majorBidi" w:eastAsia="Arial" w:hAnsi="Arial"/>
      <w:color w:val="1F2A44"/>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 eG – Katalog der Quartiersaufgaben</dc:title>
  <dc:creator/>
  <dc:language>de-DE</dc:language>
  <cp:keywords/>
  <dcterms:created xsi:type="dcterms:W3CDTF">2026-10-30T10:57:28Z</dcterms:created>
  <dcterms:modified xsi:type="dcterms:W3CDTF">2026-10-30T10:57:28Z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Entwurf – Stand 30.10.2026 – Anlage 1 zur Satzung</vt:lpwstr>
  </property>
</Properties>
</file>